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val="en-US" w:eastAsia="zh-CN"/>
        </w:rPr>
        <w:t>特克斯县融媒体中心</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val="en-US" w:eastAsia="zh-CN"/>
        </w:rPr>
        <w:t>特克斯县融媒体中心</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 </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 xml:space="preserve"> 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7"/>
          <w:rFonts w:ascii="仿宋" w:hAnsi="仿宋" w:eastAsia="仿宋"/>
          <w:b/>
          <w:bCs/>
        </w:rPr>
      </w:pPr>
      <w:bookmarkStart w:id="2" w:name="_Toc70450290"/>
      <w:r>
        <w:rPr>
          <w:rStyle w:val="17"/>
          <w:rFonts w:hint="eastAsia" w:ascii="仿宋" w:hAnsi="仿宋" w:eastAsia="仿宋"/>
          <w:b/>
          <w:bCs/>
        </w:rPr>
        <w:t>（一）部门单位基本情况</w:t>
      </w:r>
      <w:bookmarkEnd w:id="2"/>
    </w:p>
    <w:p>
      <w:pPr>
        <w:pStyle w:val="5"/>
        <w:spacing w:line="360" w:lineRule="auto"/>
        <w:ind w:firstLine="562" w:firstLineChars="200"/>
        <w:rPr>
          <w:rStyle w:val="17"/>
          <w:rFonts w:ascii="仿宋" w:hAnsi="仿宋" w:eastAsia="仿宋"/>
          <w:b/>
          <w:bCs/>
        </w:rPr>
      </w:pPr>
      <w:bookmarkStart w:id="3" w:name="_Toc70450291"/>
      <w:r>
        <w:rPr>
          <w:rStyle w:val="17"/>
          <w:rFonts w:ascii="仿宋" w:hAnsi="仿宋" w:eastAsia="仿宋"/>
          <w:b/>
          <w:bCs/>
        </w:rPr>
        <w:t>1</w:t>
      </w:r>
      <w:r>
        <w:rPr>
          <w:rStyle w:val="17"/>
          <w:rFonts w:hint="eastAsia" w:ascii="仿宋" w:hAnsi="仿宋" w:eastAsia="仿宋"/>
          <w:b/>
          <w:bCs/>
        </w:rPr>
        <w:t>、主要职能</w:t>
      </w:r>
      <w:bookmarkEnd w:id="3"/>
    </w:p>
    <w:p>
      <w:pPr>
        <w:widowControl/>
        <w:spacing w:line="520" w:lineRule="atLeast"/>
        <w:ind w:firstLine="544" w:firstLineChars="200"/>
        <w:jc w:val="left"/>
        <w:rPr>
          <w:rStyle w:val="17"/>
          <w:rFonts w:hint="eastAsia" w:ascii="仿宋_GB2312" w:hAnsi="楷体" w:eastAsia="仿宋_GB2312" w:cs="Times New Roman"/>
          <w:b w:val="0"/>
          <w:spacing w:val="-4"/>
          <w:sz w:val="28"/>
          <w:szCs w:val="28"/>
          <w:lang w:val="en-US" w:eastAsia="zh-CN"/>
        </w:rPr>
      </w:pPr>
      <w:r>
        <w:rPr>
          <w:rStyle w:val="17"/>
          <w:rFonts w:hint="eastAsia" w:ascii="仿宋_GB2312" w:hAnsi="楷体" w:eastAsia="仿宋_GB2312" w:cs="Times New Roman"/>
          <w:b w:val="0"/>
          <w:spacing w:val="-4"/>
          <w:sz w:val="28"/>
          <w:szCs w:val="28"/>
          <w:lang w:val="en-US" w:eastAsia="zh-CN"/>
        </w:rPr>
        <w:t>（一）宣传习近平新时代中国特色社会主义思想，宣传党的理论和路线方针政策；（二）宣传以习近平同志为核心的党中央治疆方略、特别是社会稳定和长治久安总目标;围绕县人民政府中心工作，统筹组织重大宣传报道;（三）为县人民政府提供内参报道、舆情信息;组织广播电视节目创作生产，制作人民群众喜闻乐见的精品节目，确保安全播出;（四）坚持正确政治方向、舆论导向和价值取向，引导社会热点，加强和改进奥论监督，守好意识形态阵地;打造自主可控、有影响力的新媒体传播平台，推动媒体融合发展;加强国际传播能力建设，讲好中国故事的新疆篇章;（五）完成县人民政府交办的其他事项。</w:t>
      </w:r>
    </w:p>
    <w:p>
      <w:pPr>
        <w:pStyle w:val="5"/>
        <w:spacing w:line="360" w:lineRule="auto"/>
        <w:ind w:firstLine="562" w:firstLineChars="200"/>
        <w:rPr>
          <w:rStyle w:val="17"/>
          <w:rFonts w:ascii="仿宋" w:hAnsi="仿宋" w:eastAsia="仿宋"/>
          <w:b/>
          <w:bCs/>
        </w:rPr>
      </w:pPr>
      <w:bookmarkStart w:id="4" w:name="_Toc70450292"/>
      <w:r>
        <w:rPr>
          <w:rStyle w:val="17"/>
          <w:rFonts w:hint="eastAsia" w:ascii="仿宋" w:hAnsi="仿宋" w:eastAsia="仿宋"/>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lang w:val="en-US" w:eastAsia="zh-CN"/>
        </w:rPr>
        <w:t>特克斯县融媒体中心</w:t>
      </w:r>
      <w:r>
        <w:rPr>
          <w:rStyle w:val="17"/>
          <w:rFonts w:hint="eastAsia" w:ascii="仿宋_GB2312" w:hAnsi="楷体" w:eastAsia="仿宋_GB2312"/>
          <w:b w:val="0"/>
          <w:spacing w:val="-4"/>
          <w:sz w:val="28"/>
          <w:szCs w:val="28"/>
        </w:rPr>
        <w:t>无下属预算单位，下设</w:t>
      </w:r>
      <w:r>
        <w:rPr>
          <w:rStyle w:val="17"/>
          <w:rFonts w:hint="eastAsia" w:ascii="仿宋_GB2312" w:hAnsi="楷体" w:eastAsia="仿宋_GB2312"/>
          <w:b w:val="0"/>
          <w:spacing w:val="-4"/>
          <w:sz w:val="28"/>
          <w:szCs w:val="28"/>
          <w:lang w:val="en-US" w:eastAsia="zh-CN"/>
        </w:rPr>
        <w:t>5</w:t>
      </w:r>
      <w:r>
        <w:rPr>
          <w:rStyle w:val="17"/>
          <w:rFonts w:hint="eastAsia" w:ascii="仿宋_GB2312" w:hAnsi="楷体" w:eastAsia="仿宋_GB2312"/>
          <w:b w:val="0"/>
          <w:spacing w:val="-4"/>
          <w:sz w:val="28"/>
          <w:szCs w:val="28"/>
        </w:rPr>
        <w:t>个</w:t>
      </w:r>
      <w:r>
        <w:rPr>
          <w:rStyle w:val="17"/>
          <w:rFonts w:hint="eastAsia" w:ascii="仿宋_GB2312" w:hAnsi="楷体" w:eastAsia="仿宋_GB2312"/>
          <w:b w:val="0"/>
          <w:spacing w:val="-4"/>
          <w:sz w:val="28"/>
          <w:szCs w:val="28"/>
          <w:lang w:val="en-US" w:eastAsia="zh-CN"/>
        </w:rPr>
        <w:t>科</w:t>
      </w:r>
      <w:r>
        <w:rPr>
          <w:rStyle w:val="17"/>
          <w:rFonts w:hint="eastAsia" w:ascii="仿宋_GB2312" w:hAnsi="楷体" w:eastAsia="仿宋_GB2312"/>
          <w:b w:val="0"/>
          <w:spacing w:val="-4"/>
          <w:sz w:val="28"/>
          <w:szCs w:val="28"/>
        </w:rPr>
        <w:t>室，分别是：</w:t>
      </w:r>
      <w:r>
        <w:rPr>
          <w:rStyle w:val="17"/>
          <w:rFonts w:hint="eastAsia" w:ascii="仿宋_GB2312" w:hAnsi="楷体" w:eastAsia="仿宋_GB2312"/>
          <w:b w:val="0"/>
          <w:spacing w:val="-4"/>
          <w:sz w:val="28"/>
          <w:szCs w:val="28"/>
          <w:lang w:val="en-US" w:eastAsia="zh-CN"/>
        </w:rPr>
        <w:t>行政综合办公室、总编室、融媒体指挥调度中心、编辑制作播音中心、技术播控中心</w:t>
      </w:r>
      <w:r>
        <w:rPr>
          <w:rStyle w:val="17"/>
          <w:rFonts w:hint="eastAsia" w:ascii="仿宋_GB2312" w:hAnsi="楷体" w:eastAsia="仿宋_GB2312"/>
          <w:b w:val="0"/>
          <w:spacing w:val="-4"/>
          <w:sz w:val="28"/>
          <w:szCs w:val="28"/>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（2）2021年</w:t>
      </w:r>
      <w:r>
        <w:rPr>
          <w:rStyle w:val="17"/>
          <w:rFonts w:hint="eastAsia" w:ascii="仿宋_GB2312" w:hAnsi="楷体" w:eastAsia="仿宋_GB2312"/>
          <w:b w:val="0"/>
          <w:spacing w:val="-4"/>
          <w:sz w:val="28"/>
          <w:szCs w:val="28"/>
          <w:lang w:val="en-US" w:eastAsia="zh-CN"/>
        </w:rPr>
        <w:t>特克斯县融媒体中心</w:t>
      </w:r>
      <w:r>
        <w:rPr>
          <w:rStyle w:val="17"/>
          <w:rFonts w:hint="eastAsia" w:ascii="仿宋_GB2312" w:hAnsi="楷体" w:eastAsia="仿宋_GB2312"/>
          <w:b w:val="0"/>
          <w:spacing w:val="-4"/>
          <w:sz w:val="28"/>
          <w:szCs w:val="28"/>
        </w:rPr>
        <w:t>实有在职人员为</w:t>
      </w:r>
      <w:r>
        <w:rPr>
          <w:rStyle w:val="17"/>
          <w:rFonts w:hint="eastAsia" w:ascii="仿宋_GB2312" w:hAnsi="楷体" w:eastAsia="仿宋_GB2312"/>
          <w:b w:val="0"/>
          <w:spacing w:val="-4"/>
          <w:sz w:val="28"/>
          <w:szCs w:val="28"/>
          <w:lang w:val="en-US" w:eastAsia="zh-CN"/>
        </w:rPr>
        <w:t>46</w:t>
      </w:r>
      <w:r>
        <w:rPr>
          <w:rStyle w:val="17"/>
          <w:rFonts w:hint="eastAsia" w:ascii="仿宋_GB2312" w:hAnsi="楷体" w:eastAsia="仿宋_GB2312"/>
          <w:b w:val="0"/>
          <w:spacing w:val="-4"/>
          <w:sz w:val="28"/>
          <w:szCs w:val="28"/>
        </w:rPr>
        <w:t>人，其中：</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行政在职</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人），与上年一致；</w:t>
      </w:r>
    </w:p>
    <w:p>
      <w:pPr>
        <w:spacing w:line="360" w:lineRule="auto"/>
        <w:ind w:firstLine="544" w:firstLineChars="200"/>
        <w:rPr>
          <w:rStyle w:val="17"/>
          <w:rFonts w:hint="eastAsia" w:ascii="仿宋_GB2312" w:hAnsi="楷体" w:eastAsia="仿宋_GB2312"/>
          <w:b w:val="0"/>
          <w:color w:val="auto"/>
          <w:spacing w:val="-4"/>
          <w:sz w:val="28"/>
          <w:szCs w:val="28"/>
          <w:highlight w:val="yellow"/>
          <w:lang w:val="en-US" w:eastAsia="zh-CN"/>
        </w:rPr>
      </w:pPr>
      <w:r>
        <w:rPr>
          <w:rStyle w:val="17"/>
          <w:rFonts w:hint="eastAsia" w:ascii="仿宋_GB2312" w:hAnsi="楷体" w:eastAsia="仿宋_GB2312"/>
          <w:b w:val="0"/>
          <w:color w:val="auto"/>
          <w:spacing w:val="-4"/>
          <w:sz w:val="28"/>
          <w:szCs w:val="28"/>
          <w:highlight w:val="none"/>
          <w:lang w:val="en-US" w:eastAsia="zh-CN"/>
        </w:rPr>
        <w:t>事业</w:t>
      </w:r>
      <w:r>
        <w:rPr>
          <w:rStyle w:val="17"/>
          <w:rFonts w:hint="eastAsia" w:ascii="仿宋_GB2312" w:hAnsi="楷体" w:eastAsia="仿宋_GB2312"/>
          <w:b w:val="0"/>
          <w:color w:val="auto"/>
          <w:spacing w:val="-4"/>
          <w:sz w:val="28"/>
          <w:szCs w:val="28"/>
        </w:rPr>
        <w:t>行政在职</w:t>
      </w:r>
      <w:r>
        <w:rPr>
          <w:rStyle w:val="17"/>
          <w:rFonts w:hint="eastAsia" w:ascii="仿宋_GB2312" w:hAnsi="楷体" w:eastAsia="仿宋_GB2312"/>
          <w:b w:val="0"/>
          <w:color w:val="auto"/>
          <w:spacing w:val="-4"/>
          <w:sz w:val="28"/>
          <w:szCs w:val="28"/>
          <w:lang w:val="en-US" w:eastAsia="zh-CN"/>
        </w:rPr>
        <w:t>46</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46</w:t>
      </w:r>
      <w:r>
        <w:rPr>
          <w:rStyle w:val="17"/>
          <w:rFonts w:hint="eastAsia" w:ascii="仿宋_GB2312" w:hAnsi="楷体" w:eastAsia="仿宋_GB2312"/>
          <w:b w:val="0"/>
          <w:color w:val="auto"/>
          <w:spacing w:val="-4"/>
          <w:sz w:val="28"/>
          <w:szCs w:val="28"/>
        </w:rPr>
        <w:t>人）</w:t>
      </w:r>
      <w:r>
        <w:rPr>
          <w:rStyle w:val="17"/>
          <w:rFonts w:hint="eastAsia" w:ascii="仿宋_GB2312" w:hAnsi="楷体" w:eastAsia="仿宋_GB2312"/>
          <w:b w:val="0"/>
          <w:color w:val="auto"/>
          <w:spacing w:val="-4"/>
          <w:sz w:val="28"/>
          <w:szCs w:val="28"/>
          <w:lang w:eastAsia="zh-CN"/>
        </w:rPr>
        <w:t>，</w:t>
      </w:r>
      <w:r>
        <w:rPr>
          <w:rStyle w:val="17"/>
          <w:rFonts w:hint="eastAsia" w:ascii="仿宋_GB2312" w:hAnsi="楷体" w:eastAsia="仿宋_GB2312"/>
          <w:b w:val="0"/>
          <w:color w:val="auto"/>
          <w:spacing w:val="-4"/>
          <w:sz w:val="28"/>
          <w:szCs w:val="28"/>
        </w:rPr>
        <w:t>与上年一致；</w:t>
      </w:r>
    </w:p>
    <w:p>
      <w:pPr>
        <w:spacing w:line="360" w:lineRule="auto"/>
        <w:ind w:firstLine="544" w:firstLineChars="200"/>
        <w:rPr>
          <w:rStyle w:val="17"/>
          <w:rFonts w:hint="default" w:ascii="仿宋_GB2312" w:hAnsi="楷体" w:eastAsia="仿宋_GB2312"/>
          <w:b w:val="0"/>
          <w:color w:val="auto"/>
          <w:spacing w:val="-4"/>
          <w:sz w:val="28"/>
          <w:szCs w:val="28"/>
          <w:lang w:val="en-US" w:eastAsia="zh-CN"/>
        </w:rPr>
      </w:pPr>
      <w:r>
        <w:rPr>
          <w:rStyle w:val="17"/>
          <w:rFonts w:hint="eastAsia" w:ascii="仿宋_GB2312" w:hAnsi="楷体" w:eastAsia="仿宋_GB2312"/>
          <w:b w:val="0"/>
          <w:color w:val="auto"/>
          <w:spacing w:val="-4"/>
          <w:sz w:val="28"/>
          <w:szCs w:val="28"/>
        </w:rPr>
        <w:t>实有离休人员</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人）,与上年一致</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实有退休人员</w:t>
      </w:r>
      <w:r>
        <w:rPr>
          <w:rStyle w:val="17"/>
          <w:rFonts w:hint="eastAsia" w:ascii="仿宋_GB2312" w:hAnsi="楷体" w:eastAsia="仿宋_GB2312"/>
          <w:b w:val="0"/>
          <w:color w:val="auto"/>
          <w:spacing w:val="-4"/>
          <w:sz w:val="28"/>
          <w:szCs w:val="28"/>
          <w:lang w:val="en-US" w:eastAsia="zh-CN"/>
        </w:rPr>
        <w:t>32</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31</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同比上年增加</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人。</w:t>
      </w:r>
    </w:p>
    <w:p>
      <w:pPr>
        <w:pStyle w:val="5"/>
        <w:spacing w:line="360" w:lineRule="auto"/>
        <w:ind w:firstLine="562" w:firstLineChars="200"/>
        <w:rPr>
          <w:rStyle w:val="17"/>
          <w:rFonts w:ascii="仿宋" w:hAnsi="仿宋" w:eastAsia="仿宋"/>
          <w:b/>
          <w:bCs/>
        </w:rPr>
      </w:pPr>
      <w:bookmarkStart w:id="5" w:name="_Toc70450293"/>
      <w:r>
        <w:rPr>
          <w:rStyle w:val="17"/>
          <w:rFonts w:ascii="仿宋" w:hAnsi="仿宋" w:eastAsia="仿宋"/>
          <w:b/>
          <w:bCs/>
        </w:rPr>
        <w:t>3</w:t>
      </w:r>
      <w:r>
        <w:rPr>
          <w:rStyle w:val="17"/>
          <w:rFonts w:hint="eastAsia" w:ascii="仿宋" w:hAnsi="仿宋" w:eastAsia="仿宋"/>
          <w:b/>
          <w:bCs/>
        </w:rPr>
        <w:t>、重点工作计划</w:t>
      </w:r>
      <w:bookmarkEnd w:id="5"/>
    </w:p>
    <w:p>
      <w:pPr>
        <w:spacing w:line="360" w:lineRule="auto"/>
        <w:ind w:firstLine="544" w:firstLineChars="200"/>
        <w:rPr>
          <w:rStyle w:val="17"/>
          <w:rFonts w:hint="eastAsia" w:ascii="仿宋_GB2312" w:hAnsi="楷体" w:eastAsia="仿宋_GB2312"/>
          <w:b w:val="0"/>
          <w:bCs w:val="0"/>
          <w:color w:val="auto"/>
          <w:spacing w:val="-4"/>
          <w:sz w:val="28"/>
          <w:szCs w:val="28"/>
          <w:lang w:eastAsia="zh-CN"/>
        </w:rPr>
      </w:pPr>
      <w:r>
        <w:rPr>
          <w:rStyle w:val="17"/>
          <w:rFonts w:hint="eastAsia" w:ascii="仿宋_GB2312" w:hAnsi="楷体" w:eastAsia="仿宋_GB2312"/>
          <w:b w:val="0"/>
          <w:bCs w:val="0"/>
          <w:color w:val="auto"/>
          <w:spacing w:val="-4"/>
          <w:sz w:val="28"/>
          <w:szCs w:val="28"/>
        </w:rPr>
        <w:t>（1）强化“旅游+媒体”融合应用，提升融媒发展新高度</w:t>
      </w:r>
      <w:r>
        <w:rPr>
          <w:rStyle w:val="17"/>
          <w:rFonts w:hint="eastAsia" w:ascii="仿宋_GB2312" w:hAnsi="楷体" w:eastAsia="仿宋_GB2312"/>
          <w:b w:val="0"/>
          <w:bCs w:val="0"/>
          <w:color w:val="auto"/>
          <w:spacing w:val="-4"/>
          <w:sz w:val="28"/>
          <w:szCs w:val="28"/>
          <w:lang w:eastAsia="zh-CN"/>
        </w:rPr>
        <w:t>，依托援疆项目，启动特克斯县融媒体中心广电平台暨“旅游+媒体”融合应用800万项目，打造融媒体信息资讯与旅游信息资讯的有机结合，实现产业融合。八卦城集体公司成立特融媒体信息文化科技有限责任公司孙公司，由融媒体中心媒体融合产业进行运营尝试，截至目前与江宁融媒体中心初步构建媒体游环线。</w:t>
      </w:r>
    </w:p>
    <w:p>
      <w:pPr>
        <w:spacing w:line="360" w:lineRule="auto"/>
        <w:ind w:firstLine="544" w:firstLineChars="200"/>
        <w:rPr>
          <w:rStyle w:val="17"/>
          <w:rFonts w:hint="eastAsia" w:ascii="仿宋_GB2312" w:hAnsi="楷体" w:eastAsia="仿宋_GB2312" w:cs="Times New Roman"/>
          <w:b w:val="0"/>
          <w:bCs w:val="0"/>
          <w:color w:val="auto"/>
          <w:spacing w:val="-4"/>
          <w:sz w:val="28"/>
          <w:szCs w:val="28"/>
          <w:lang w:val="en-US" w:eastAsia="zh-CN"/>
        </w:rPr>
      </w:pPr>
      <w:r>
        <w:rPr>
          <w:rStyle w:val="17"/>
          <w:rFonts w:hint="eastAsia" w:ascii="仿宋_GB2312" w:hAnsi="楷体" w:eastAsia="仿宋_GB2312" w:cs="Times New Roman"/>
          <w:b w:val="0"/>
          <w:bCs w:val="0"/>
          <w:color w:val="auto"/>
          <w:spacing w:val="-4"/>
          <w:sz w:val="28"/>
          <w:szCs w:val="28"/>
          <w:lang w:eastAsia="zh-CN"/>
        </w:rPr>
        <w:t>（</w:t>
      </w:r>
      <w:r>
        <w:rPr>
          <w:rStyle w:val="17"/>
          <w:rFonts w:hint="eastAsia" w:ascii="仿宋_GB2312" w:hAnsi="楷体" w:eastAsia="仿宋_GB2312" w:cs="Times New Roman"/>
          <w:b w:val="0"/>
          <w:bCs w:val="0"/>
          <w:color w:val="auto"/>
          <w:spacing w:val="-4"/>
          <w:sz w:val="28"/>
          <w:szCs w:val="28"/>
          <w:lang w:val="en-US" w:eastAsia="zh-CN"/>
        </w:rPr>
        <w:t>2</w:t>
      </w:r>
      <w:r>
        <w:rPr>
          <w:rStyle w:val="17"/>
          <w:rFonts w:hint="eastAsia" w:ascii="仿宋_GB2312" w:hAnsi="楷体" w:eastAsia="仿宋_GB2312" w:cs="Times New Roman"/>
          <w:b w:val="0"/>
          <w:bCs w:val="0"/>
          <w:color w:val="auto"/>
          <w:spacing w:val="-4"/>
          <w:sz w:val="28"/>
          <w:szCs w:val="28"/>
          <w:lang w:eastAsia="zh-CN"/>
        </w:rPr>
        <w:t>）安全播出是广播电视的“防火墙”，</w:t>
      </w:r>
      <w:r>
        <w:rPr>
          <w:rStyle w:val="17"/>
          <w:rFonts w:hint="eastAsia" w:ascii="仿宋_GB2312" w:hAnsi="楷体" w:eastAsia="仿宋_GB2312" w:cs="Times New Roman"/>
          <w:b w:val="0"/>
          <w:bCs w:val="0"/>
          <w:color w:val="auto"/>
          <w:spacing w:val="-4"/>
          <w:sz w:val="28"/>
          <w:szCs w:val="28"/>
          <w:lang w:val="en-US" w:eastAsia="zh-CN"/>
        </w:rPr>
        <w:t>特克斯县融媒体中心</w:t>
      </w:r>
      <w:r>
        <w:rPr>
          <w:rStyle w:val="17"/>
          <w:rFonts w:hint="eastAsia" w:ascii="仿宋_GB2312" w:hAnsi="楷体" w:eastAsia="仿宋_GB2312" w:cs="Times New Roman"/>
          <w:b w:val="0"/>
          <w:bCs w:val="0"/>
          <w:color w:val="auto"/>
          <w:spacing w:val="-4"/>
          <w:sz w:val="28"/>
          <w:szCs w:val="28"/>
          <w:lang w:eastAsia="zh-CN"/>
        </w:rPr>
        <w:t>始终把安全播出当作关系政治安全、社会稳定的大事紧抓不放，</w:t>
      </w:r>
      <w:r>
        <w:rPr>
          <w:rStyle w:val="17"/>
          <w:rFonts w:hint="eastAsia" w:ascii="仿宋_GB2312" w:hAnsi="楷体" w:eastAsia="仿宋_GB2312" w:cs="Times New Roman"/>
          <w:b w:val="0"/>
          <w:bCs w:val="0"/>
          <w:color w:val="auto"/>
          <w:spacing w:val="-4"/>
          <w:sz w:val="28"/>
          <w:szCs w:val="28"/>
          <w:lang w:val="en-US" w:eastAsia="zh-CN"/>
        </w:rPr>
        <w:t>加大对广播电视播出、发射台站安全播出的资金投入力度，投入37万元对高山无线发射台站的发射铁塔接地、发射机高频接地、塔下地面硬化等系统进行改造，投入35万完成播出机房和发射机房整合，人员培训实现常态化，确保</w:t>
      </w:r>
      <w:r>
        <w:rPr>
          <w:rStyle w:val="17"/>
          <w:rFonts w:hint="eastAsia" w:ascii="仿宋_GB2312" w:hAnsi="楷体" w:eastAsia="仿宋_GB2312" w:cs="Times New Roman"/>
          <w:b w:val="0"/>
          <w:bCs w:val="0"/>
          <w:color w:val="auto"/>
          <w:spacing w:val="-4"/>
          <w:sz w:val="28"/>
          <w:szCs w:val="28"/>
          <w:lang w:eastAsia="zh-CN"/>
        </w:rPr>
        <w:t>安全播出</w:t>
      </w:r>
      <w:r>
        <w:rPr>
          <w:rStyle w:val="17"/>
          <w:rFonts w:hint="eastAsia" w:ascii="仿宋_GB2312" w:hAnsi="楷体" w:eastAsia="仿宋_GB2312" w:cs="Times New Roman"/>
          <w:b w:val="0"/>
          <w:bCs w:val="0"/>
          <w:color w:val="auto"/>
          <w:spacing w:val="-4"/>
          <w:sz w:val="28"/>
          <w:szCs w:val="28"/>
          <w:lang w:val="en-US" w:eastAsia="zh-CN"/>
        </w:rPr>
        <w:t>零事故发生。</w:t>
      </w:r>
    </w:p>
    <w:p>
      <w:pPr>
        <w:pStyle w:val="4"/>
        <w:spacing w:line="360" w:lineRule="auto"/>
        <w:rPr>
          <w:rStyle w:val="17"/>
          <w:rFonts w:ascii="仿宋" w:hAnsi="仿宋" w:eastAsia="仿宋"/>
          <w:b/>
          <w:bCs/>
          <w:sz w:val="28"/>
          <w:szCs w:val="28"/>
        </w:rPr>
      </w:pPr>
      <w:bookmarkStart w:id="6" w:name="_Toc70450294"/>
      <w:r>
        <w:rPr>
          <w:rStyle w:val="17"/>
          <w:rFonts w:hint="eastAsia" w:ascii="仿宋" w:hAnsi="仿宋" w:eastAsia="仿宋"/>
          <w:b/>
          <w:bCs/>
          <w:sz w:val="28"/>
          <w:szCs w:val="28"/>
        </w:rPr>
        <w:t>（二）部门单位整体支出规模、</w:t>
      </w:r>
      <w:bookmarkStart w:id="7" w:name="_Hlk70339807"/>
      <w:r>
        <w:rPr>
          <w:rStyle w:val="17"/>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7"/>
          <w:rFonts w:ascii="仿宋" w:hAnsi="仿宋" w:eastAsia="仿宋"/>
          <w:b/>
          <w:bCs/>
        </w:rPr>
      </w:pPr>
      <w:bookmarkStart w:id="8" w:name="_Toc70450295"/>
      <w:r>
        <w:rPr>
          <w:rStyle w:val="17"/>
          <w:rFonts w:hint="eastAsia" w:ascii="仿宋" w:hAnsi="仿宋" w:eastAsia="仿宋"/>
          <w:b/>
          <w:bCs/>
        </w:rPr>
        <w:t>1、部门单位整体支出规模</w:t>
      </w:r>
      <w:bookmarkEnd w:id="8"/>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2021年批复我</w:t>
      </w:r>
      <w:r>
        <w:rPr>
          <w:rStyle w:val="17"/>
          <w:rFonts w:hint="eastAsia" w:ascii="仿宋_GB2312" w:hAnsi="楷体" w:eastAsia="仿宋_GB2312"/>
          <w:b w:val="0"/>
          <w:spacing w:val="-4"/>
          <w:sz w:val="28"/>
          <w:szCs w:val="28"/>
          <w:lang w:val="en-US" w:eastAsia="zh-CN"/>
        </w:rPr>
        <w:t>单位</w:t>
      </w:r>
      <w:r>
        <w:rPr>
          <w:rStyle w:val="17"/>
          <w:rFonts w:hint="eastAsia" w:ascii="仿宋_GB2312" w:hAnsi="楷体" w:eastAsia="仿宋_GB2312"/>
          <w:b w:val="0"/>
          <w:spacing w:val="-4"/>
          <w:sz w:val="28"/>
          <w:szCs w:val="28"/>
        </w:rPr>
        <w:t>预算为</w:t>
      </w:r>
      <w:r>
        <w:rPr>
          <w:rStyle w:val="17"/>
          <w:rFonts w:hint="eastAsia" w:ascii="仿宋_GB2312" w:hAnsi="楷体" w:eastAsia="仿宋_GB2312"/>
          <w:b w:val="0"/>
          <w:spacing w:val="-4"/>
          <w:sz w:val="28"/>
          <w:szCs w:val="28"/>
          <w:lang w:val="en-US" w:eastAsia="zh-CN"/>
        </w:rPr>
        <w:t>1461.05</w:t>
      </w:r>
      <w:r>
        <w:rPr>
          <w:rStyle w:val="17"/>
          <w:rFonts w:hint="eastAsia" w:ascii="仿宋_GB2312" w:hAnsi="楷体" w:eastAsia="仿宋_GB2312"/>
          <w:b w:val="0"/>
          <w:spacing w:val="-4"/>
          <w:sz w:val="28"/>
          <w:szCs w:val="28"/>
        </w:rPr>
        <w:t>万元，其中：财政拨款为</w:t>
      </w:r>
      <w:r>
        <w:rPr>
          <w:rStyle w:val="17"/>
          <w:rFonts w:hint="eastAsia" w:ascii="仿宋_GB2312" w:hAnsi="楷体" w:eastAsia="仿宋_GB2312"/>
          <w:b w:val="0"/>
          <w:spacing w:val="-4"/>
          <w:sz w:val="28"/>
          <w:szCs w:val="28"/>
          <w:lang w:val="en-US" w:eastAsia="zh-CN"/>
        </w:rPr>
        <w:t>834.74</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highlight w:val="none"/>
        </w:rPr>
        <w:t>单位其他资金收入</w:t>
      </w:r>
      <w:r>
        <w:rPr>
          <w:rStyle w:val="17"/>
          <w:rFonts w:hint="eastAsia" w:ascii="仿宋_GB2312" w:hAnsi="楷体" w:eastAsia="仿宋_GB2312"/>
          <w:b w:val="0"/>
          <w:spacing w:val="-4"/>
          <w:sz w:val="28"/>
          <w:szCs w:val="28"/>
          <w:highlight w:val="none"/>
          <w:lang w:val="en-US" w:eastAsia="zh-CN"/>
        </w:rPr>
        <w:t>626.31</w:t>
      </w:r>
      <w:r>
        <w:rPr>
          <w:rStyle w:val="17"/>
          <w:rFonts w:hint="eastAsia" w:ascii="仿宋_GB2312" w:hAnsi="楷体" w:eastAsia="仿宋_GB2312"/>
          <w:b w:val="0"/>
          <w:spacing w:val="-4"/>
          <w:sz w:val="28"/>
          <w:szCs w:val="28"/>
          <w:highlight w:val="none"/>
        </w:rPr>
        <w:t>万元</w:t>
      </w:r>
      <w:r>
        <w:rPr>
          <w:rStyle w:val="17"/>
          <w:rFonts w:hint="eastAsia" w:ascii="仿宋_GB2312" w:hAnsi="楷体" w:eastAsia="仿宋_GB2312"/>
          <w:b w:val="0"/>
          <w:spacing w:val="-4"/>
          <w:sz w:val="28"/>
          <w:szCs w:val="28"/>
          <w:highlight w:val="none"/>
          <w:lang w:eastAsia="zh-CN"/>
        </w:rPr>
        <w:t>。</w:t>
      </w:r>
      <w:r>
        <w:rPr>
          <w:rStyle w:val="17"/>
          <w:rFonts w:hint="eastAsia" w:ascii="仿宋_GB2312" w:hAnsi="楷体" w:eastAsia="仿宋_GB2312"/>
          <w:b w:val="0"/>
          <w:spacing w:val="-4"/>
          <w:sz w:val="28"/>
          <w:szCs w:val="28"/>
          <w:highlight w:val="none"/>
        </w:rPr>
        <w:t>年</w:t>
      </w:r>
      <w:r>
        <w:rPr>
          <w:rStyle w:val="17"/>
          <w:rFonts w:hint="eastAsia" w:ascii="仿宋_GB2312" w:hAnsi="楷体" w:eastAsia="仿宋_GB2312"/>
          <w:b w:val="0"/>
          <w:spacing w:val="-4"/>
          <w:sz w:val="28"/>
          <w:szCs w:val="28"/>
        </w:rPr>
        <w:t>中追加资金</w:t>
      </w:r>
      <w:r>
        <w:rPr>
          <w:rStyle w:val="17"/>
          <w:rFonts w:hint="eastAsia" w:ascii="仿宋_GB2312" w:hAnsi="楷体" w:eastAsia="仿宋_GB2312"/>
          <w:b w:val="0"/>
          <w:spacing w:val="-4"/>
          <w:sz w:val="28"/>
          <w:szCs w:val="28"/>
          <w:lang w:val="en-US" w:eastAsia="zh-CN"/>
        </w:rPr>
        <w:t>969.66</w:t>
      </w:r>
      <w:r>
        <w:rPr>
          <w:rStyle w:val="17"/>
          <w:rFonts w:hint="eastAsia" w:ascii="仿宋_GB2312" w:hAnsi="楷体" w:eastAsia="仿宋_GB2312"/>
          <w:b w:val="0"/>
          <w:spacing w:val="-4"/>
          <w:sz w:val="28"/>
          <w:szCs w:val="28"/>
        </w:rPr>
        <w:t>万元，调整率</w:t>
      </w:r>
      <w:r>
        <w:rPr>
          <w:rStyle w:val="17"/>
          <w:rFonts w:hint="eastAsia" w:ascii="仿宋_GB2312" w:hAnsi="楷体" w:eastAsia="仿宋_GB2312"/>
          <w:b w:val="0"/>
          <w:spacing w:val="-4"/>
          <w:sz w:val="28"/>
          <w:szCs w:val="28"/>
          <w:lang w:val="en-US" w:eastAsia="zh-CN"/>
        </w:rPr>
        <w:t>197.33</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highlight w:val="none"/>
        </w:rPr>
        <w:t>。对比上年</w:t>
      </w:r>
      <w:r>
        <w:rPr>
          <w:rStyle w:val="17"/>
          <w:rFonts w:hint="eastAsia" w:ascii="仿宋_GB2312" w:hAnsi="楷体" w:eastAsia="仿宋_GB2312"/>
          <w:b w:val="0"/>
          <w:spacing w:val="-4"/>
          <w:sz w:val="28"/>
          <w:szCs w:val="28"/>
          <w:highlight w:val="none"/>
          <w:lang w:val="en-US" w:eastAsia="zh-CN"/>
        </w:rPr>
        <w:t>421</w:t>
      </w:r>
      <w:r>
        <w:rPr>
          <w:rStyle w:val="17"/>
          <w:rFonts w:hint="eastAsia" w:ascii="仿宋_GB2312" w:hAnsi="楷体" w:eastAsia="仿宋_GB2312"/>
          <w:b w:val="0"/>
          <w:spacing w:val="-4"/>
          <w:sz w:val="28"/>
          <w:szCs w:val="28"/>
          <w:highlight w:val="none"/>
        </w:rPr>
        <w:t>万元增加</w:t>
      </w:r>
      <w:r>
        <w:rPr>
          <w:rStyle w:val="17"/>
          <w:rFonts w:hint="eastAsia" w:ascii="仿宋_GB2312" w:hAnsi="楷体" w:eastAsia="仿宋_GB2312"/>
          <w:b w:val="0"/>
          <w:spacing w:val="-4"/>
          <w:sz w:val="28"/>
          <w:szCs w:val="28"/>
          <w:highlight w:val="none"/>
          <w:lang w:val="en-US" w:eastAsia="zh-CN"/>
        </w:rPr>
        <w:t>1040.05</w:t>
      </w:r>
      <w:r>
        <w:rPr>
          <w:rStyle w:val="17"/>
          <w:rFonts w:hint="eastAsia" w:ascii="仿宋_GB2312" w:hAnsi="楷体" w:eastAsia="仿宋_GB2312"/>
          <w:b w:val="0"/>
          <w:spacing w:val="-4"/>
          <w:sz w:val="28"/>
          <w:szCs w:val="28"/>
          <w:highlight w:val="none"/>
        </w:rPr>
        <w:t>万元，上升</w:t>
      </w:r>
      <w:r>
        <w:rPr>
          <w:rStyle w:val="17"/>
          <w:rFonts w:hint="eastAsia" w:ascii="仿宋_GB2312" w:hAnsi="楷体" w:eastAsia="仿宋_GB2312"/>
          <w:b w:val="0"/>
          <w:spacing w:val="-4"/>
          <w:sz w:val="28"/>
          <w:szCs w:val="28"/>
          <w:highlight w:val="none"/>
          <w:lang w:val="en-US" w:eastAsia="zh-CN"/>
        </w:rPr>
        <w:t>247.04</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2021年实际决算支出</w:t>
      </w:r>
      <w:r>
        <w:rPr>
          <w:rStyle w:val="17"/>
          <w:rFonts w:hint="eastAsia" w:ascii="仿宋_GB2312" w:hAnsi="楷体" w:eastAsia="仿宋_GB2312"/>
          <w:b w:val="0"/>
          <w:spacing w:val="-4"/>
          <w:sz w:val="28"/>
          <w:szCs w:val="28"/>
          <w:lang w:val="en-US" w:eastAsia="zh-CN"/>
        </w:rPr>
        <w:t>1461.05</w:t>
      </w:r>
      <w:r>
        <w:rPr>
          <w:rStyle w:val="17"/>
          <w:rFonts w:hint="eastAsia" w:ascii="仿宋_GB2312" w:hAnsi="楷体" w:eastAsia="仿宋_GB2312"/>
          <w:b w:val="0"/>
          <w:spacing w:val="-4"/>
          <w:sz w:val="28"/>
          <w:szCs w:val="28"/>
        </w:rPr>
        <w:t>万元，执行率</w:t>
      </w:r>
      <w:r>
        <w:rPr>
          <w:rStyle w:val="17"/>
          <w:rFonts w:hint="eastAsia" w:ascii="仿宋_GB2312" w:hAnsi="楷体" w:eastAsia="仿宋_GB2312"/>
          <w:b w:val="0"/>
          <w:spacing w:val="-4"/>
          <w:sz w:val="28"/>
          <w:szCs w:val="28"/>
          <w:lang w:val="en-US" w:eastAsia="zh-CN"/>
        </w:rPr>
        <w:t>100</w:t>
      </w:r>
      <w:r>
        <w:rPr>
          <w:rStyle w:val="17"/>
          <w:rFonts w:hint="eastAsia" w:ascii="仿宋_GB2312" w:hAnsi="楷体" w:eastAsia="仿宋_GB2312"/>
          <w:b w:val="0"/>
          <w:spacing w:val="-4"/>
          <w:sz w:val="28"/>
          <w:szCs w:val="28"/>
        </w:rPr>
        <w:t>%，其中：</w:t>
      </w:r>
    </w:p>
    <w:p>
      <w:pPr>
        <w:pStyle w:val="30"/>
        <w:keepNext w:val="0"/>
        <w:keepLines w:val="0"/>
        <w:pageBreakBefore w:val="0"/>
        <w:numPr>
          <w:ilvl w:val="0"/>
          <w:numId w:val="1"/>
        </w:numPr>
        <w:kinsoku/>
        <w:wordWrap/>
        <w:overflowPunct/>
        <w:topLinePunct w:val="0"/>
        <w:bidi w:val="0"/>
        <w:snapToGrid/>
        <w:spacing w:line="560" w:lineRule="exact"/>
        <w:ind w:firstLine="544" w:firstLineChars="200"/>
        <w:textAlignment w:val="auto"/>
        <w:rPr>
          <w:rStyle w:val="17"/>
          <w:rFonts w:hint="eastAsia" w:ascii="仿宋_GB2312" w:hAnsi="楷体" w:eastAsia="仿宋_GB2312" w:cstheme="minorBidi"/>
          <w:b w:val="0"/>
          <w:spacing w:val="-4"/>
          <w:sz w:val="28"/>
          <w:szCs w:val="28"/>
        </w:rPr>
      </w:pP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612.39</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41.91</w:t>
      </w:r>
      <w:r>
        <w:rPr>
          <w:rStyle w:val="17"/>
          <w:rFonts w:hint="eastAsia" w:ascii="仿宋_GB2312" w:hAnsi="楷体" w:eastAsia="仿宋_GB2312"/>
          <w:b w:val="0"/>
          <w:spacing w:val="-4"/>
          <w:sz w:val="28"/>
          <w:szCs w:val="28"/>
        </w:rPr>
        <w:t>％，主要用于本</w:t>
      </w:r>
      <w:r>
        <w:rPr>
          <w:rStyle w:val="17"/>
          <w:rFonts w:hint="eastAsia" w:ascii="仿宋_GB2312" w:hAnsi="楷体" w:eastAsia="仿宋_GB2312"/>
          <w:b w:val="0"/>
          <w:spacing w:val="-4"/>
          <w:sz w:val="28"/>
          <w:szCs w:val="28"/>
          <w:lang w:val="en-US" w:eastAsia="zh-CN"/>
        </w:rPr>
        <w:t>单位</w:t>
      </w:r>
      <w:r>
        <w:rPr>
          <w:rStyle w:val="17"/>
          <w:rFonts w:hint="eastAsia" w:ascii="仿宋_GB2312" w:hAnsi="楷体" w:eastAsia="仿宋_GB2312"/>
          <w:b w:val="0"/>
          <w:spacing w:val="-4"/>
          <w:sz w:val="28"/>
          <w:szCs w:val="28"/>
        </w:rPr>
        <w:t>机构正常运转、完成日常工作任务而发生的各项支出。其中：工资福利支出</w:t>
      </w:r>
      <w:r>
        <w:rPr>
          <w:rStyle w:val="17"/>
          <w:rFonts w:hint="eastAsia" w:ascii="仿宋_GB2312" w:hAnsi="楷体" w:eastAsia="仿宋_GB2312"/>
          <w:b w:val="0"/>
          <w:spacing w:val="-4"/>
          <w:sz w:val="28"/>
          <w:szCs w:val="28"/>
          <w:lang w:val="en-US" w:eastAsia="zh-CN"/>
        </w:rPr>
        <w:t>572.03</w:t>
      </w:r>
      <w:r>
        <w:rPr>
          <w:rStyle w:val="17"/>
          <w:rFonts w:hint="eastAsia" w:ascii="仿宋_GB2312" w:hAnsi="楷体" w:eastAsia="仿宋_GB2312"/>
          <w:b w:val="0"/>
          <w:spacing w:val="-4"/>
          <w:sz w:val="28"/>
          <w:szCs w:val="28"/>
        </w:rPr>
        <w:t>万元，主要用于在职和离退休人员基本工资、津贴补贴等</w:t>
      </w:r>
      <w:r>
        <w:rPr>
          <w:rStyle w:val="17"/>
          <w:rFonts w:hint="eastAsia" w:ascii="仿宋_GB2312" w:hAnsi="楷体" w:eastAsia="仿宋_GB2312" w:cstheme="minorBidi"/>
          <w:b w:val="0"/>
          <w:spacing w:val="-4"/>
          <w:sz w:val="28"/>
          <w:szCs w:val="28"/>
        </w:rPr>
        <w:t>人员经费。商品和服务支出</w:t>
      </w:r>
      <w:r>
        <w:rPr>
          <w:rStyle w:val="17"/>
          <w:rFonts w:hint="eastAsia" w:ascii="仿宋_GB2312" w:hAnsi="楷体" w:eastAsia="仿宋_GB2312" w:cstheme="minorBidi"/>
          <w:b w:val="0"/>
          <w:spacing w:val="-4"/>
          <w:sz w:val="28"/>
          <w:szCs w:val="28"/>
          <w:lang w:val="en-US" w:eastAsia="zh-CN"/>
        </w:rPr>
        <w:t>29.19</w:t>
      </w:r>
      <w:r>
        <w:rPr>
          <w:rStyle w:val="17"/>
          <w:rFonts w:hint="eastAsia" w:ascii="仿宋_GB2312" w:hAnsi="楷体" w:eastAsia="仿宋_GB2312" w:cstheme="minorBidi"/>
          <w:b w:val="0"/>
          <w:spacing w:val="-4"/>
          <w:sz w:val="28"/>
          <w:szCs w:val="28"/>
        </w:rPr>
        <w:t>万元，主要用于办公费、印刷费、水电费、办公设备购置等。对个人和家庭的补助</w:t>
      </w:r>
      <w:r>
        <w:rPr>
          <w:rStyle w:val="17"/>
          <w:rFonts w:hint="eastAsia" w:ascii="仿宋_GB2312" w:hAnsi="楷体" w:eastAsia="仿宋_GB2312" w:cstheme="minorBidi"/>
          <w:b w:val="0"/>
          <w:spacing w:val="-4"/>
          <w:sz w:val="28"/>
          <w:szCs w:val="28"/>
          <w:lang w:val="en-US" w:eastAsia="zh-CN"/>
        </w:rPr>
        <w:t>11.17</w:t>
      </w:r>
      <w:r>
        <w:rPr>
          <w:rStyle w:val="17"/>
          <w:rFonts w:hint="eastAsia" w:ascii="仿宋_GB2312" w:hAnsi="楷体" w:eastAsia="仿宋_GB2312" w:cstheme="minorBidi"/>
          <w:b w:val="0"/>
          <w:spacing w:val="-4"/>
          <w:sz w:val="28"/>
          <w:szCs w:val="28"/>
        </w:rPr>
        <w:t>万元，主要用于</w:t>
      </w:r>
      <w:r>
        <w:rPr>
          <w:rStyle w:val="17"/>
          <w:rFonts w:hint="eastAsia" w:ascii="仿宋_GB2312" w:hAnsi="楷体" w:eastAsia="仿宋_GB2312" w:cstheme="minorBidi"/>
          <w:b w:val="0"/>
          <w:spacing w:val="-4"/>
          <w:sz w:val="28"/>
          <w:szCs w:val="28"/>
          <w:lang w:val="en-US" w:eastAsia="zh-CN"/>
        </w:rPr>
        <w:t>退休人员冬碳费、退休人员计生津贴、退休死亡人员抚恤金及丧葬费</w:t>
      </w:r>
      <w:r>
        <w:rPr>
          <w:rStyle w:val="17"/>
          <w:rFonts w:hint="eastAsia" w:ascii="仿宋_GB2312" w:hAnsi="楷体" w:eastAsia="仿宋_GB2312" w:cstheme="minorBidi"/>
          <w:b w:val="0"/>
          <w:spacing w:val="-4"/>
          <w:sz w:val="28"/>
          <w:szCs w:val="28"/>
        </w:rPr>
        <w:t>。</w:t>
      </w:r>
    </w:p>
    <w:p>
      <w:pPr>
        <w:pStyle w:val="30"/>
        <w:keepNext w:val="0"/>
        <w:keepLines w:val="0"/>
        <w:pageBreakBefore w:val="0"/>
        <w:numPr>
          <w:ilvl w:val="0"/>
          <w:numId w:val="1"/>
        </w:numPr>
        <w:kinsoku/>
        <w:wordWrap/>
        <w:overflowPunct/>
        <w:topLinePunct w:val="0"/>
        <w:bidi w:val="0"/>
        <w:snapToGrid/>
        <w:spacing w:line="560" w:lineRule="exact"/>
        <w:ind w:firstLine="544" w:firstLineChars="200"/>
        <w:textAlignment w:val="auto"/>
        <w:rPr>
          <w:rStyle w:val="17"/>
          <w:rFonts w:hint="default" w:ascii="仿宋_GB2312" w:hAnsi="楷体" w:eastAsia="仿宋_GB2312" w:cstheme="minorBidi"/>
          <w:b w:val="0"/>
          <w:spacing w:val="-4"/>
          <w:sz w:val="28"/>
          <w:szCs w:val="28"/>
          <w:lang w:val="en-US" w:eastAsia="zh-CN"/>
        </w:rPr>
      </w:pPr>
      <w:r>
        <w:rPr>
          <w:rStyle w:val="17"/>
          <w:rFonts w:hint="eastAsia" w:ascii="仿宋_GB2312" w:hAnsi="楷体" w:eastAsia="仿宋_GB2312" w:cstheme="minorBidi"/>
          <w:b w:val="0"/>
          <w:spacing w:val="-4"/>
          <w:sz w:val="28"/>
          <w:szCs w:val="28"/>
        </w:rPr>
        <w:t>项目支出</w:t>
      </w:r>
      <w:r>
        <w:rPr>
          <w:rStyle w:val="17"/>
          <w:rFonts w:hint="eastAsia" w:ascii="仿宋_GB2312" w:hAnsi="楷体" w:eastAsia="仿宋_GB2312" w:cstheme="minorBidi"/>
          <w:b w:val="0"/>
          <w:spacing w:val="-4"/>
          <w:sz w:val="28"/>
          <w:szCs w:val="28"/>
          <w:lang w:val="en-US" w:eastAsia="zh-CN"/>
        </w:rPr>
        <w:t>848.66</w:t>
      </w:r>
      <w:r>
        <w:rPr>
          <w:rStyle w:val="17"/>
          <w:rFonts w:hint="eastAsia" w:ascii="仿宋_GB2312" w:hAnsi="楷体" w:eastAsia="仿宋_GB2312" w:cstheme="minorBidi"/>
          <w:b w:val="0"/>
          <w:spacing w:val="-4"/>
          <w:sz w:val="28"/>
          <w:szCs w:val="28"/>
        </w:rPr>
        <w:t>万元，占总支出的</w:t>
      </w:r>
      <w:r>
        <w:rPr>
          <w:rStyle w:val="17"/>
          <w:rFonts w:hint="eastAsia" w:ascii="仿宋_GB2312" w:hAnsi="楷体" w:eastAsia="仿宋_GB2312" w:cstheme="minorBidi"/>
          <w:b w:val="0"/>
          <w:spacing w:val="-4"/>
          <w:sz w:val="28"/>
          <w:szCs w:val="28"/>
          <w:lang w:val="en-US" w:eastAsia="zh-CN"/>
        </w:rPr>
        <w:t>58.09</w:t>
      </w:r>
      <w:r>
        <w:rPr>
          <w:rStyle w:val="17"/>
          <w:rFonts w:hint="eastAsia" w:ascii="仿宋_GB2312" w:hAnsi="楷体" w:eastAsia="仿宋_GB2312" w:cstheme="minorBidi"/>
          <w:b w:val="0"/>
          <w:spacing w:val="-4"/>
          <w:sz w:val="28"/>
          <w:szCs w:val="28"/>
        </w:rPr>
        <w:t>％。其中：</w:t>
      </w:r>
      <w:r>
        <w:rPr>
          <w:rStyle w:val="17"/>
          <w:rFonts w:hint="eastAsia" w:ascii="仿宋_GB2312" w:hAnsi="楷体" w:eastAsia="仿宋_GB2312" w:cstheme="minorBidi"/>
          <w:b w:val="0"/>
          <w:spacing w:val="-4"/>
          <w:sz w:val="28"/>
          <w:szCs w:val="28"/>
          <w:lang w:val="en-US" w:eastAsia="zh-CN"/>
        </w:rPr>
        <w:t>无线覆盖资金项目</w:t>
      </w:r>
      <w:r>
        <w:rPr>
          <w:rStyle w:val="17"/>
          <w:rFonts w:hint="eastAsia" w:ascii="仿宋_GB2312" w:hAnsi="楷体" w:eastAsia="仿宋_GB2312" w:cstheme="minorBidi"/>
          <w:b w:val="0"/>
          <w:spacing w:val="-4"/>
          <w:sz w:val="28"/>
          <w:szCs w:val="28"/>
        </w:rPr>
        <w:t>项目安排</w:t>
      </w:r>
      <w:r>
        <w:rPr>
          <w:rStyle w:val="17"/>
          <w:rFonts w:hint="eastAsia" w:ascii="仿宋_GB2312" w:hAnsi="楷体" w:eastAsia="仿宋_GB2312" w:cstheme="minorBidi"/>
          <w:b w:val="0"/>
          <w:spacing w:val="-4"/>
          <w:sz w:val="28"/>
          <w:szCs w:val="28"/>
          <w:lang w:val="en-US" w:eastAsia="zh-CN"/>
        </w:rPr>
        <w:t>87.96</w:t>
      </w:r>
      <w:r>
        <w:rPr>
          <w:rStyle w:val="17"/>
          <w:rFonts w:hint="eastAsia" w:ascii="仿宋_GB2312" w:hAnsi="楷体" w:eastAsia="仿宋_GB2312" w:cstheme="minorBidi"/>
          <w:b w:val="0"/>
          <w:spacing w:val="-4"/>
          <w:sz w:val="28"/>
          <w:szCs w:val="28"/>
        </w:rPr>
        <w:t>万元，主要用于完成</w:t>
      </w:r>
      <w:r>
        <w:rPr>
          <w:rStyle w:val="17"/>
          <w:rFonts w:hint="eastAsia" w:ascii="仿宋_GB2312" w:hAnsi="楷体" w:eastAsia="仿宋_GB2312" w:cstheme="minorBidi"/>
          <w:b w:val="0"/>
          <w:spacing w:val="-4"/>
          <w:sz w:val="28"/>
          <w:szCs w:val="28"/>
          <w:lang w:val="en-US" w:eastAsia="zh-CN"/>
        </w:rPr>
        <w:t>高山发射台站发射机房维修维护。聘用人员工资</w:t>
      </w:r>
      <w:r>
        <w:rPr>
          <w:rStyle w:val="17"/>
          <w:rFonts w:hint="eastAsia" w:ascii="仿宋_GB2312" w:hAnsi="楷体" w:eastAsia="仿宋_GB2312" w:cstheme="minorBidi"/>
          <w:b w:val="0"/>
          <w:spacing w:val="-4"/>
          <w:sz w:val="28"/>
          <w:szCs w:val="28"/>
        </w:rPr>
        <w:t>项目安排</w:t>
      </w:r>
      <w:r>
        <w:rPr>
          <w:rStyle w:val="17"/>
          <w:rFonts w:hint="eastAsia" w:ascii="仿宋_GB2312" w:hAnsi="楷体" w:eastAsia="仿宋_GB2312" w:cstheme="minorBidi"/>
          <w:b w:val="0"/>
          <w:spacing w:val="-4"/>
          <w:sz w:val="28"/>
          <w:szCs w:val="28"/>
          <w:lang w:val="en-US" w:eastAsia="zh-CN"/>
        </w:rPr>
        <w:t>46.80</w:t>
      </w:r>
      <w:r>
        <w:rPr>
          <w:rStyle w:val="17"/>
          <w:rFonts w:hint="eastAsia" w:ascii="仿宋_GB2312" w:hAnsi="楷体" w:eastAsia="仿宋_GB2312" w:cstheme="minorBidi"/>
          <w:b w:val="0"/>
          <w:spacing w:val="-4"/>
          <w:sz w:val="28"/>
          <w:szCs w:val="28"/>
        </w:rPr>
        <w:t>万元，主要用于完成</w:t>
      </w:r>
      <w:r>
        <w:rPr>
          <w:rStyle w:val="17"/>
          <w:rFonts w:hint="eastAsia" w:ascii="仿宋_GB2312" w:hAnsi="楷体" w:eastAsia="仿宋_GB2312" w:cstheme="minorBidi"/>
          <w:b w:val="0"/>
          <w:spacing w:val="-4"/>
          <w:sz w:val="28"/>
          <w:szCs w:val="28"/>
          <w:lang w:val="en-US" w:eastAsia="zh-CN"/>
        </w:rPr>
        <w:t>聘用新媒体记者、编辑、制作和高山台维护人员工资。融媒体建设项目87.59万元，</w:t>
      </w:r>
      <w:r>
        <w:rPr>
          <w:rStyle w:val="17"/>
          <w:rFonts w:hint="eastAsia" w:ascii="仿宋_GB2312" w:hAnsi="楷体" w:eastAsia="仿宋_GB2312" w:cstheme="minorBidi"/>
          <w:b w:val="0"/>
          <w:spacing w:val="-4"/>
          <w:sz w:val="28"/>
          <w:szCs w:val="28"/>
        </w:rPr>
        <w:t>主要用于完成</w:t>
      </w:r>
      <w:r>
        <w:rPr>
          <w:rStyle w:val="17"/>
          <w:rFonts w:hint="eastAsia" w:ascii="仿宋_GB2312" w:hAnsi="楷体" w:eastAsia="仿宋_GB2312" w:cstheme="minorBidi"/>
          <w:b w:val="0"/>
          <w:spacing w:val="-4"/>
          <w:sz w:val="28"/>
          <w:szCs w:val="28"/>
          <w:lang w:val="en-US" w:eastAsia="zh-CN"/>
        </w:rPr>
        <w:t>自治区要求县级融媒体验收达标购买设备。特克斯县融媒体中心广电平台暨“旅游+媒体”融合应用项目，本年度实施626.31万元，用于完成融媒体信息资讯与旅游信息资讯的有机结合，实现产业融合。八卦城集体公司成立特融媒体信息文化科技有限责任公司孙公司，由融媒体中心媒体融合产业进行运营尝试，截至目前与江宁融媒体中心初步构建媒体游环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4" w:firstLineChars="200"/>
        <w:textAlignment w:val="auto"/>
        <w:rPr>
          <w:rStyle w:val="17"/>
          <w:rFonts w:hint="eastAsia" w:ascii="仿宋_GB2312" w:hAnsi="楷体" w:eastAsia="仿宋_GB2312" w:cstheme="minorBidi"/>
          <w:b w:val="0"/>
          <w:color w:val="000000"/>
          <w:spacing w:val="-4"/>
          <w:kern w:val="0"/>
          <w:sz w:val="28"/>
          <w:szCs w:val="28"/>
          <w:lang w:val="en-US" w:eastAsia="zh-CN" w:bidi="ar-SA"/>
        </w:rPr>
      </w:pPr>
      <w:r>
        <w:rPr>
          <w:rStyle w:val="17"/>
          <w:rFonts w:hint="eastAsia" w:ascii="仿宋_GB2312" w:hAnsi="楷体" w:eastAsia="仿宋_GB2312"/>
          <w:b w:val="0"/>
          <w:spacing w:val="-4"/>
          <w:sz w:val="28"/>
          <w:szCs w:val="28"/>
        </w:rPr>
        <w:t>（</w:t>
      </w:r>
      <w:r>
        <w:rPr>
          <w:rStyle w:val="17"/>
          <w:rFonts w:ascii="仿宋_GB2312" w:hAnsi="楷体" w:eastAsia="仿宋_GB2312"/>
          <w:b w:val="0"/>
          <w:spacing w:val="-4"/>
          <w:sz w:val="28"/>
          <w:szCs w:val="28"/>
        </w:rPr>
        <w:t>3</w:t>
      </w:r>
      <w:r>
        <w:rPr>
          <w:rStyle w:val="17"/>
          <w:rFonts w:hint="eastAsia" w:ascii="仿宋_GB2312" w:hAnsi="楷体" w:eastAsia="仿宋_GB2312"/>
          <w:b w:val="0"/>
          <w:spacing w:val="-4"/>
          <w:sz w:val="28"/>
          <w:szCs w:val="28"/>
        </w:rPr>
        <w:t>）</w:t>
      </w:r>
      <w:r>
        <w:rPr>
          <w:rStyle w:val="17"/>
          <w:rFonts w:hint="eastAsia" w:ascii="仿宋_GB2312" w:hAnsi="楷体" w:eastAsia="仿宋_GB2312" w:cstheme="minorBidi"/>
          <w:b w:val="0"/>
          <w:color w:val="000000"/>
          <w:spacing w:val="-4"/>
          <w:kern w:val="0"/>
          <w:sz w:val="28"/>
          <w:szCs w:val="28"/>
          <w:lang w:val="en-US" w:eastAsia="zh-CN" w:bidi="ar-SA"/>
        </w:rPr>
        <w:t>本年度重点项目支出626.31万元，重点支出保障率73.80%。其中重点保障项目是融媒体信息资讯与旅游信息资讯的有机结合，实现产业融合。八卦城集体公司成立特融媒体信息文化科技有限责任公司孙公司，由融媒体中心媒体融合产业进行运营尝试，截至目前与江宁融媒体中心初步构建媒体游环线。</w:t>
      </w:r>
    </w:p>
    <w:p>
      <w:pPr>
        <w:spacing w:line="360" w:lineRule="auto"/>
        <w:ind w:firstLine="544" w:firstLineChars="200"/>
        <w:rPr>
          <w:rStyle w:val="17"/>
          <w:rFonts w:hint="eastAsia" w:ascii="仿宋_GB2312" w:hAnsi="楷体" w:eastAsia="仿宋_GB2312"/>
          <w:b w:val="0"/>
          <w:spacing w:val="-4"/>
          <w:sz w:val="32"/>
          <w:szCs w:val="32"/>
          <w:lang w:val="en-US" w:eastAsia="zh-CN"/>
        </w:rPr>
      </w:pPr>
      <w:r>
        <w:rPr>
          <w:rStyle w:val="17"/>
          <w:rFonts w:hint="eastAsia" w:ascii="仿宋_GB2312" w:hAnsi="楷体" w:eastAsia="仿宋_GB2312"/>
          <w:b w:val="0"/>
          <w:spacing w:val="-4"/>
          <w:sz w:val="28"/>
          <w:szCs w:val="28"/>
        </w:rPr>
        <w:t>（4）本年度我</w:t>
      </w:r>
      <w:r>
        <w:rPr>
          <w:rStyle w:val="17"/>
          <w:rFonts w:hint="eastAsia" w:ascii="仿宋_GB2312" w:hAnsi="楷体" w:eastAsia="仿宋_GB2312"/>
          <w:b w:val="0"/>
          <w:spacing w:val="-4"/>
          <w:sz w:val="28"/>
          <w:szCs w:val="28"/>
          <w:lang w:val="en-US" w:eastAsia="zh-CN"/>
        </w:rPr>
        <w:t>单位</w:t>
      </w:r>
      <w:r>
        <w:rPr>
          <w:rStyle w:val="17"/>
          <w:rFonts w:hint="eastAsia" w:ascii="仿宋_GB2312" w:hAnsi="楷体" w:eastAsia="仿宋_GB2312"/>
          <w:b w:val="0"/>
          <w:spacing w:val="-4"/>
          <w:sz w:val="28"/>
          <w:szCs w:val="28"/>
        </w:rPr>
        <w:t>政府采购预算</w:t>
      </w:r>
      <w:r>
        <w:rPr>
          <w:rStyle w:val="17"/>
          <w:rFonts w:hint="eastAsia" w:ascii="仿宋_GB2312" w:hAnsi="楷体" w:eastAsia="仿宋_GB2312"/>
          <w:b w:val="0"/>
          <w:spacing w:val="-4"/>
          <w:sz w:val="28"/>
          <w:szCs w:val="28"/>
          <w:lang w:val="en-US" w:eastAsia="zh-CN"/>
        </w:rPr>
        <w:t>626.31</w:t>
      </w:r>
      <w:r>
        <w:rPr>
          <w:rStyle w:val="17"/>
          <w:rFonts w:hint="eastAsia" w:ascii="仿宋_GB2312" w:hAnsi="楷体" w:eastAsia="仿宋_GB2312"/>
          <w:b w:val="0"/>
          <w:spacing w:val="-4"/>
          <w:sz w:val="28"/>
          <w:szCs w:val="28"/>
        </w:rPr>
        <w:t>万元,实际用于政府采购金额</w:t>
      </w:r>
      <w:r>
        <w:rPr>
          <w:rStyle w:val="17"/>
          <w:rFonts w:hint="eastAsia" w:ascii="仿宋_GB2312" w:hAnsi="楷体" w:eastAsia="仿宋_GB2312"/>
          <w:b w:val="0"/>
          <w:spacing w:val="-4"/>
          <w:sz w:val="28"/>
          <w:szCs w:val="28"/>
          <w:lang w:val="en-US" w:eastAsia="zh-CN"/>
        </w:rPr>
        <w:t>626.31</w:t>
      </w:r>
      <w:r>
        <w:rPr>
          <w:rStyle w:val="17"/>
          <w:rFonts w:hint="eastAsia" w:ascii="仿宋_GB2312" w:hAnsi="楷体" w:eastAsia="仿宋_GB2312"/>
          <w:b w:val="0"/>
          <w:spacing w:val="-4"/>
          <w:sz w:val="28"/>
          <w:szCs w:val="28"/>
        </w:rPr>
        <w:t>万元，采购执行率</w:t>
      </w:r>
      <w:r>
        <w:rPr>
          <w:rStyle w:val="17"/>
          <w:rFonts w:hint="eastAsia" w:ascii="仿宋_GB2312" w:hAnsi="宋体" w:eastAsia="仿宋_GB2312"/>
          <w:b w:val="0"/>
          <w:bCs w:val="0"/>
          <w:spacing w:val="-4"/>
          <w:sz w:val="28"/>
          <w:szCs w:val="28"/>
          <w:lang w:val="en-US" w:eastAsia="zh-CN"/>
        </w:rPr>
        <w:t>100.00</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rPr>
        <w:t>%</w:t>
      </w:r>
      <w:r>
        <w:rPr>
          <w:rStyle w:val="17"/>
          <w:rFonts w:hint="eastAsia" w:ascii="仿宋_GB2312" w:hAnsi="楷体" w:eastAsia="仿宋_GB2312"/>
          <w:b w:val="0"/>
          <w:spacing w:val="-4"/>
          <w:sz w:val="28"/>
          <w:szCs w:val="28"/>
          <w:lang w:eastAsia="zh-CN"/>
        </w:rPr>
        <w:t>。</w:t>
      </w:r>
    </w:p>
    <w:p>
      <w:pPr>
        <w:pStyle w:val="5"/>
        <w:spacing w:line="360" w:lineRule="auto"/>
        <w:ind w:firstLine="562" w:firstLineChars="200"/>
        <w:rPr>
          <w:rStyle w:val="17"/>
          <w:rFonts w:ascii="仿宋" w:hAnsi="仿宋" w:eastAsia="仿宋"/>
          <w:b/>
          <w:bCs/>
        </w:rPr>
      </w:pPr>
      <w:bookmarkStart w:id="9" w:name="_Toc70450296"/>
      <w:r>
        <w:rPr>
          <w:rStyle w:val="17"/>
          <w:rFonts w:ascii="仿宋" w:hAnsi="仿宋" w:eastAsia="仿宋"/>
          <w:b/>
          <w:bCs/>
        </w:rPr>
        <w:t>2</w:t>
      </w:r>
      <w:r>
        <w:rPr>
          <w:rStyle w:val="17"/>
          <w:rFonts w:hint="eastAsia" w:ascii="仿宋" w:hAnsi="仿宋" w:eastAsia="仿宋"/>
          <w:b/>
          <w:bCs/>
        </w:rPr>
        <w:t>、整体支出评价使用方法和主要内容、涉及对象及范围等</w:t>
      </w:r>
      <w:bookmarkEnd w:id="9"/>
    </w:p>
    <w:p>
      <w:pPr>
        <w:spacing w:line="360" w:lineRule="auto"/>
        <w:ind w:firstLine="560" w:firstLineChars="200"/>
        <w:rPr>
          <w:rStyle w:val="17"/>
          <w:rFonts w:ascii="仿宋_GB2312" w:eastAsia="仿宋_GB2312"/>
          <w:b w:val="0"/>
          <w:bCs w:val="0"/>
          <w:sz w:val="28"/>
          <w:szCs w:val="36"/>
        </w:rPr>
      </w:pPr>
      <w:r>
        <w:rPr>
          <w:rFonts w:hint="eastAsia" w:ascii="仿宋_GB2312" w:eastAsia="仿宋_GB2312"/>
          <w:sz w:val="28"/>
          <w:szCs w:val="36"/>
        </w:rPr>
        <w:t>（1）</w:t>
      </w:r>
      <w:r>
        <w:rPr>
          <w:rStyle w:val="17"/>
          <w:rFonts w:hint="eastAsia" w:ascii="仿宋_GB2312" w:eastAsia="仿宋_GB2312"/>
          <w:b w:val="0"/>
          <w:bCs w:val="0"/>
          <w:sz w:val="28"/>
          <w:szCs w:val="36"/>
        </w:rPr>
        <w:t>整体支出评价使用方法</w:t>
      </w:r>
    </w:p>
    <w:p>
      <w:pPr>
        <w:spacing w:line="360" w:lineRule="auto"/>
        <w:ind w:firstLine="560" w:firstLineChars="200"/>
        <w:rPr>
          <w:rStyle w:val="17"/>
          <w:rFonts w:hint="eastAsia" w:ascii="仿宋_GB2312" w:eastAsia="仿宋_GB2312"/>
          <w:b w:val="0"/>
          <w:bCs w:val="0"/>
          <w:color w:val="FF0000"/>
          <w:sz w:val="28"/>
          <w:szCs w:val="36"/>
          <w:highlight w:val="yellow"/>
        </w:rPr>
      </w:pPr>
      <w:r>
        <w:rPr>
          <w:rStyle w:val="17"/>
          <w:rFonts w:hint="eastAsia" w:ascii="仿宋_GB2312" w:eastAsia="仿宋_GB2312"/>
          <w:b w:val="0"/>
          <w:bCs w:val="0"/>
          <w:color w:val="auto"/>
          <w:sz w:val="28"/>
          <w:szCs w:val="36"/>
          <w:lang w:val="en-US" w:eastAsia="zh-CN"/>
        </w:rPr>
        <w:t>本次采用的是</w:t>
      </w:r>
      <w:r>
        <w:rPr>
          <w:rStyle w:val="17"/>
          <w:rFonts w:hint="eastAsia" w:ascii="仿宋_GB2312" w:eastAsia="仿宋_GB2312"/>
          <w:b w:val="0"/>
          <w:bCs w:val="0"/>
          <w:color w:val="auto"/>
          <w:sz w:val="28"/>
          <w:szCs w:val="36"/>
        </w:rPr>
        <w:t>因素分析法方法</w:t>
      </w:r>
      <w:r>
        <w:rPr>
          <w:rStyle w:val="17"/>
          <w:rFonts w:hint="eastAsia" w:ascii="仿宋_GB2312" w:eastAsia="仿宋_GB2312"/>
          <w:b w:val="0"/>
          <w:bCs w:val="0"/>
          <w:color w:val="auto"/>
          <w:sz w:val="28"/>
          <w:szCs w:val="36"/>
          <w:highlight w:val="none"/>
        </w:rPr>
        <w:t>，原因是：</w:t>
      </w:r>
      <w:r>
        <w:rPr>
          <w:rStyle w:val="17"/>
          <w:rFonts w:hint="eastAsia" w:ascii="仿宋_GB2312" w:eastAsia="仿宋_GB2312"/>
          <w:b w:val="0"/>
          <w:bCs w:val="0"/>
          <w:color w:val="auto"/>
          <w:sz w:val="28"/>
          <w:szCs w:val="36"/>
          <w:highlight w:val="none"/>
          <w:lang w:eastAsia="zh-CN"/>
        </w:rPr>
        <w:t>此项为重点项目，</w:t>
      </w:r>
      <w:r>
        <w:rPr>
          <w:rStyle w:val="17"/>
          <w:rFonts w:hint="eastAsia" w:ascii="仿宋_GB2312" w:hAnsi="楷体" w:eastAsia="仿宋_GB2312" w:cstheme="minorBidi"/>
          <w:b w:val="0"/>
          <w:color w:val="000000"/>
          <w:spacing w:val="-4"/>
          <w:kern w:val="0"/>
          <w:sz w:val="28"/>
          <w:szCs w:val="28"/>
          <w:highlight w:val="none"/>
          <w:lang w:val="en-US" w:eastAsia="zh-CN" w:bidi="ar-SA"/>
        </w:rPr>
        <w:t>其中重点保障项目是融媒体信息资讯与旅游信息资讯的有机结合，实现产业融合。通过项目进行全方位因素分析（</w:t>
      </w:r>
      <w:r>
        <w:rPr>
          <w:rStyle w:val="17"/>
          <w:rFonts w:hint="eastAsia" w:ascii="仿宋_GB2312" w:eastAsia="仿宋_GB2312"/>
          <w:b w:val="0"/>
          <w:bCs w:val="0"/>
          <w:color w:val="auto"/>
          <w:sz w:val="28"/>
          <w:szCs w:val="36"/>
          <w:highlight w:val="none"/>
        </w:rPr>
        <w:t>绩效评价工作过程：包括前期准备、组织实施、检查、核实等工作情况</w:t>
      </w:r>
      <w:r>
        <w:rPr>
          <w:rStyle w:val="17"/>
          <w:rFonts w:hint="eastAsia" w:ascii="仿宋_GB2312" w:hAnsi="楷体" w:eastAsia="仿宋_GB2312" w:cstheme="minorBidi"/>
          <w:b w:val="0"/>
          <w:color w:val="000000"/>
          <w:spacing w:val="-4"/>
          <w:kern w:val="0"/>
          <w:sz w:val="28"/>
          <w:szCs w:val="28"/>
          <w:highlight w:val="none"/>
          <w:lang w:val="en-US" w:eastAsia="zh-CN" w:bidi="ar-SA"/>
        </w:rPr>
        <w:t>），然后对</w:t>
      </w:r>
      <w:r>
        <w:rPr>
          <w:rStyle w:val="17"/>
          <w:rFonts w:hint="eastAsia" w:ascii="仿宋_GB2312" w:hAnsi="楷体" w:eastAsia="仿宋_GB2312" w:cstheme="minorBidi"/>
          <w:b w:val="0"/>
          <w:color w:val="000000"/>
          <w:spacing w:val="-4"/>
          <w:kern w:val="0"/>
          <w:sz w:val="28"/>
          <w:szCs w:val="28"/>
          <w:lang w:val="en-US" w:eastAsia="zh-CN" w:bidi="ar-SA"/>
        </w:rPr>
        <w:t>项目进行评价，最终得出结论。</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7"/>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（3）整体支出评价涉及对象及范围</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涉及对象：</w:t>
      </w:r>
      <w:r>
        <w:rPr>
          <w:rFonts w:hint="eastAsia" w:ascii="仿宋_GB2312" w:eastAsia="仿宋_GB2312"/>
          <w:sz w:val="28"/>
          <w:szCs w:val="36"/>
        </w:rPr>
        <w:t>本次评价对象是</w:t>
      </w:r>
      <w:r>
        <w:rPr>
          <w:rFonts w:hint="eastAsia" w:ascii="仿宋_GB2312" w:eastAsia="仿宋_GB2312"/>
          <w:sz w:val="28"/>
          <w:szCs w:val="36"/>
          <w:lang w:val="en-US" w:eastAsia="zh-CN"/>
        </w:rPr>
        <w:t>特克斯县融媒体中心</w:t>
      </w:r>
      <w:r>
        <w:rPr>
          <w:rFonts w:hint="eastAsia" w:ascii="仿宋_GB2312" w:eastAsia="仿宋_GB2312"/>
          <w:sz w:val="28"/>
          <w:szCs w:val="36"/>
        </w:rPr>
        <w:t>所有财政资金支出活动。</w:t>
      </w:r>
    </w:p>
    <w:p>
      <w:pPr>
        <w:spacing w:line="360" w:lineRule="auto"/>
        <w:ind w:firstLine="560" w:firstLineChars="200"/>
        <w:rPr>
          <w:rStyle w:val="17"/>
          <w:rFonts w:ascii="仿宋_GB2312" w:eastAsia="仿宋_GB2312"/>
          <w:b w:val="0"/>
          <w:bCs w:val="0"/>
          <w:sz w:val="28"/>
          <w:szCs w:val="36"/>
        </w:rPr>
      </w:pPr>
      <w:r>
        <w:rPr>
          <w:rStyle w:val="17"/>
          <w:rFonts w:hint="eastAsia" w:ascii="仿宋_GB2312" w:eastAsia="仿宋_GB2312"/>
          <w:b w:val="0"/>
          <w:bCs w:val="0"/>
          <w:sz w:val="28"/>
          <w:szCs w:val="36"/>
        </w:rPr>
        <w:t>整体支出评价范围：</w:t>
      </w:r>
    </w:p>
    <w:p>
      <w:pPr>
        <w:spacing w:line="360" w:lineRule="auto"/>
        <w:ind w:firstLine="544" w:firstLineChars="200"/>
        <w:rPr>
          <w:rStyle w:val="17"/>
          <w:rFonts w:hint="eastAsia" w:ascii="仿宋_GB2312" w:hAnsi="楷体" w:eastAsia="仿宋_GB2312"/>
          <w:b w:val="0"/>
          <w:spacing w:val="-4"/>
          <w:sz w:val="28"/>
          <w:szCs w:val="28"/>
          <w:lang w:val="en-US"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1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①</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基本支出</w:t>
      </w:r>
      <w:r>
        <w:rPr>
          <w:rStyle w:val="17"/>
          <w:rFonts w:hint="eastAsia" w:ascii="仿宋_GB2312" w:hAnsi="楷体" w:eastAsia="仿宋_GB2312"/>
          <w:b w:val="0"/>
          <w:spacing w:val="-4"/>
          <w:sz w:val="28"/>
          <w:szCs w:val="28"/>
          <w:lang w:val="en-US" w:eastAsia="zh-CN"/>
        </w:rPr>
        <w:t>612.39</w:t>
      </w:r>
      <w:r>
        <w:rPr>
          <w:rStyle w:val="17"/>
          <w:rFonts w:hint="eastAsia" w:ascii="仿宋_GB2312" w:hAnsi="楷体" w:eastAsia="仿宋_GB2312"/>
          <w:b w:val="0"/>
          <w:spacing w:val="-4"/>
          <w:sz w:val="28"/>
          <w:szCs w:val="28"/>
        </w:rPr>
        <w:t>万元，其中：工资福利支出、商品和服务支出、对个人和家庭的补助支出</w:t>
      </w:r>
      <w:r>
        <w:rPr>
          <w:rStyle w:val="17"/>
          <w:rFonts w:hint="eastAsia" w:ascii="仿宋_GB2312" w:hAnsi="楷体" w:eastAsia="仿宋_GB2312"/>
          <w:b w:val="0"/>
          <w:spacing w:val="-4"/>
          <w:sz w:val="28"/>
          <w:szCs w:val="28"/>
          <w:lang w:eastAsia="zh-CN"/>
        </w:rPr>
        <w:t>。</w:t>
      </w:r>
    </w:p>
    <w:p>
      <w:pPr>
        <w:pStyle w:val="30"/>
        <w:keepNext w:val="0"/>
        <w:keepLines w:val="0"/>
        <w:pageBreakBefore w:val="0"/>
        <w:numPr>
          <w:ilvl w:val="0"/>
          <w:numId w:val="0"/>
        </w:numPr>
        <w:kinsoku/>
        <w:wordWrap/>
        <w:overflowPunct/>
        <w:topLinePunct w:val="0"/>
        <w:bidi w:val="0"/>
        <w:snapToGrid/>
        <w:spacing w:line="560" w:lineRule="exact"/>
        <w:ind w:firstLine="544" w:firstLineChars="200"/>
        <w:textAlignment w:val="auto"/>
        <w:rPr>
          <w:rStyle w:val="17"/>
          <w:rFonts w:hint="default" w:ascii="仿宋_GB2312" w:hAnsi="楷体" w:eastAsia="仿宋_GB2312" w:cstheme="minorBidi"/>
          <w:b w:val="0"/>
          <w:spacing w:val="-4"/>
          <w:sz w:val="28"/>
          <w:szCs w:val="28"/>
          <w:lang w:val="en-US" w:eastAsia="zh-CN"/>
        </w:rPr>
      </w:pPr>
      <w:r>
        <w:rPr>
          <w:rStyle w:val="17"/>
          <w:rFonts w:ascii="仿宋_GB2312" w:hAnsi="楷体" w:eastAsia="仿宋_GB2312"/>
          <w:b w:val="0"/>
          <w:spacing w:val="-4"/>
          <w:sz w:val="28"/>
          <w:szCs w:val="28"/>
        </w:rPr>
        <w:fldChar w:fldCharType="begin"/>
      </w:r>
      <w:r>
        <w:rPr>
          <w:rStyle w:val="17"/>
          <w:rFonts w:ascii="仿宋_GB2312" w:hAnsi="楷体" w:eastAsia="仿宋_GB2312"/>
          <w:b w:val="0"/>
          <w:spacing w:val="-4"/>
          <w:sz w:val="28"/>
          <w:szCs w:val="28"/>
        </w:rPr>
        <w:instrText xml:space="preserve"> </w:instrText>
      </w:r>
      <w:r>
        <w:rPr>
          <w:rStyle w:val="17"/>
          <w:rFonts w:hint="eastAsia" w:ascii="仿宋_GB2312" w:hAnsi="楷体" w:eastAsia="仿宋_GB2312"/>
          <w:b w:val="0"/>
          <w:spacing w:val="-4"/>
          <w:sz w:val="28"/>
          <w:szCs w:val="28"/>
        </w:rPr>
        <w:instrText xml:space="preserve">= 2 \* GB3</w:instrText>
      </w:r>
      <w:r>
        <w:rPr>
          <w:rStyle w:val="17"/>
          <w:rFonts w:ascii="仿宋_GB2312" w:hAnsi="楷体" w:eastAsia="仿宋_GB2312"/>
          <w:b w:val="0"/>
          <w:spacing w:val="-4"/>
          <w:sz w:val="28"/>
          <w:szCs w:val="28"/>
        </w:rPr>
        <w:instrText xml:space="preserve"> </w:instrText>
      </w:r>
      <w:r>
        <w:rPr>
          <w:rStyle w:val="17"/>
          <w:rFonts w:ascii="仿宋_GB2312" w:hAnsi="楷体" w:eastAsia="仿宋_GB2312"/>
          <w:b w:val="0"/>
          <w:spacing w:val="-4"/>
          <w:sz w:val="28"/>
          <w:szCs w:val="28"/>
        </w:rPr>
        <w:fldChar w:fldCharType="separate"/>
      </w:r>
      <w:r>
        <w:rPr>
          <w:rStyle w:val="17"/>
          <w:rFonts w:hint="eastAsia" w:ascii="仿宋_GB2312" w:hAnsi="楷体" w:eastAsia="仿宋_GB2312"/>
          <w:b w:val="0"/>
          <w:spacing w:val="-4"/>
          <w:sz w:val="28"/>
          <w:szCs w:val="28"/>
        </w:rPr>
        <w:t>②</w:t>
      </w:r>
      <w:r>
        <w:rPr>
          <w:rStyle w:val="17"/>
          <w:rFonts w:ascii="仿宋_GB2312" w:hAnsi="楷体" w:eastAsia="仿宋_GB2312"/>
          <w:b w:val="0"/>
          <w:spacing w:val="-4"/>
          <w:sz w:val="28"/>
          <w:szCs w:val="28"/>
        </w:rPr>
        <w:fldChar w:fldCharType="end"/>
      </w:r>
      <w:r>
        <w:rPr>
          <w:rStyle w:val="17"/>
          <w:rFonts w:hint="eastAsia" w:ascii="仿宋_GB2312" w:hAnsi="楷体" w:eastAsia="仿宋_GB2312"/>
          <w:b w:val="0"/>
          <w:spacing w:val="-4"/>
          <w:sz w:val="28"/>
          <w:szCs w:val="28"/>
        </w:rPr>
        <w:t>项目支出</w:t>
      </w:r>
      <w:r>
        <w:rPr>
          <w:rStyle w:val="17"/>
          <w:rFonts w:hint="eastAsia" w:ascii="仿宋_GB2312" w:hAnsi="楷体" w:eastAsia="仿宋_GB2312"/>
          <w:b w:val="0"/>
          <w:spacing w:val="-4"/>
          <w:sz w:val="28"/>
          <w:szCs w:val="28"/>
          <w:lang w:val="en-US" w:eastAsia="zh-CN"/>
        </w:rPr>
        <w:t>848.66</w:t>
      </w:r>
      <w:r>
        <w:rPr>
          <w:rStyle w:val="17"/>
          <w:rFonts w:hint="eastAsia" w:ascii="仿宋_GB2312" w:hAnsi="楷体" w:eastAsia="仿宋_GB2312"/>
          <w:b w:val="0"/>
          <w:spacing w:val="-4"/>
          <w:sz w:val="28"/>
          <w:szCs w:val="28"/>
        </w:rPr>
        <w:t>万元：</w:t>
      </w:r>
      <w:r>
        <w:rPr>
          <w:rStyle w:val="17"/>
          <w:rFonts w:hint="eastAsia" w:ascii="仿宋_GB2312" w:hAnsi="楷体" w:eastAsia="仿宋_GB2312"/>
          <w:b w:val="0"/>
          <w:spacing w:val="-4"/>
          <w:sz w:val="28"/>
          <w:szCs w:val="28"/>
          <w:lang w:val="en-US" w:eastAsia="zh-CN"/>
        </w:rPr>
        <w:t>1.</w:t>
      </w:r>
      <w:r>
        <w:rPr>
          <w:rStyle w:val="17"/>
          <w:rFonts w:hint="eastAsia" w:ascii="仿宋_GB2312" w:hAnsi="楷体" w:eastAsia="仿宋_GB2312" w:cstheme="minorBidi"/>
          <w:b w:val="0"/>
          <w:spacing w:val="-4"/>
          <w:sz w:val="28"/>
          <w:szCs w:val="28"/>
          <w:lang w:val="en-US" w:eastAsia="zh-CN"/>
        </w:rPr>
        <w:t>无线覆盖资金项目</w:t>
      </w:r>
      <w:r>
        <w:rPr>
          <w:rStyle w:val="17"/>
          <w:rFonts w:hint="eastAsia" w:ascii="仿宋_GB2312" w:hAnsi="楷体" w:eastAsia="仿宋_GB2312" w:cstheme="minorBidi"/>
          <w:b w:val="0"/>
          <w:spacing w:val="-4"/>
          <w:sz w:val="28"/>
          <w:szCs w:val="28"/>
        </w:rPr>
        <w:t>项目</w:t>
      </w:r>
      <w:r>
        <w:rPr>
          <w:rStyle w:val="17"/>
          <w:rFonts w:hint="eastAsia" w:ascii="仿宋_GB2312" w:hAnsi="楷体" w:eastAsia="仿宋_GB2312" w:cstheme="minorBidi"/>
          <w:b w:val="0"/>
          <w:spacing w:val="-4"/>
          <w:sz w:val="28"/>
          <w:szCs w:val="28"/>
          <w:lang w:eastAsia="zh-CN"/>
        </w:rPr>
        <w:t>。</w:t>
      </w:r>
      <w:r>
        <w:rPr>
          <w:rStyle w:val="17"/>
          <w:rFonts w:hint="eastAsia" w:ascii="仿宋_GB2312" w:hAnsi="楷体" w:eastAsia="仿宋_GB2312" w:cstheme="minorBidi"/>
          <w:b w:val="0"/>
          <w:spacing w:val="-4"/>
          <w:sz w:val="28"/>
          <w:szCs w:val="28"/>
          <w:lang w:val="en-US" w:eastAsia="zh-CN"/>
        </w:rPr>
        <w:t>2.聘用人员工资</w:t>
      </w:r>
      <w:r>
        <w:rPr>
          <w:rStyle w:val="17"/>
          <w:rFonts w:hint="eastAsia" w:ascii="仿宋_GB2312" w:hAnsi="楷体" w:eastAsia="仿宋_GB2312" w:cstheme="minorBidi"/>
          <w:b w:val="0"/>
          <w:spacing w:val="-4"/>
          <w:sz w:val="28"/>
          <w:szCs w:val="28"/>
        </w:rPr>
        <w:t>项目</w:t>
      </w:r>
      <w:r>
        <w:rPr>
          <w:rStyle w:val="17"/>
          <w:rFonts w:hint="eastAsia" w:ascii="仿宋_GB2312" w:hAnsi="楷体" w:eastAsia="仿宋_GB2312" w:cstheme="minorBidi"/>
          <w:b w:val="0"/>
          <w:spacing w:val="-4"/>
          <w:sz w:val="28"/>
          <w:szCs w:val="28"/>
          <w:lang w:val="en-US" w:eastAsia="zh-CN"/>
        </w:rPr>
        <w:t>。3.融媒体建设项目。4.特克斯县融媒体中心广电平台暨“旅游+媒体”融合应用项目。</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7"/>
          <w:rFonts w:ascii="仿宋" w:hAnsi="仿宋" w:eastAsia="仿宋"/>
          <w:b/>
          <w:bCs/>
        </w:rPr>
      </w:pPr>
      <w:bookmarkStart w:id="11" w:name="_Toc70450298"/>
      <w:r>
        <w:rPr>
          <w:rStyle w:val="17"/>
          <w:rFonts w:hint="eastAsia" w:ascii="仿宋" w:hAnsi="仿宋" w:eastAsia="仿宋"/>
          <w:b/>
          <w:bCs/>
        </w:rPr>
        <w:t>（一）预算管理</w:t>
      </w:r>
      <w:bookmarkEnd w:id="11"/>
    </w:p>
    <w:p>
      <w:pPr>
        <w:pStyle w:val="5"/>
        <w:spacing w:line="360" w:lineRule="auto"/>
        <w:ind w:firstLine="562" w:firstLineChars="200"/>
        <w:rPr>
          <w:rStyle w:val="17"/>
          <w:rFonts w:ascii="仿宋" w:hAnsi="仿宋" w:eastAsia="仿宋"/>
          <w:b/>
          <w:bCs/>
        </w:rPr>
      </w:pPr>
      <w:bookmarkStart w:id="12" w:name="_Toc70450299"/>
      <w:r>
        <w:rPr>
          <w:rStyle w:val="17"/>
          <w:rFonts w:ascii="仿宋" w:hAnsi="仿宋" w:eastAsia="仿宋"/>
          <w:b/>
          <w:bCs/>
        </w:rPr>
        <w:t>1</w:t>
      </w:r>
      <w:r>
        <w:rPr>
          <w:rStyle w:val="17"/>
          <w:rFonts w:hint="eastAsia" w:ascii="仿宋" w:hAnsi="仿宋" w:eastAsia="仿宋"/>
          <w:b/>
          <w:bCs/>
        </w:rPr>
        <w:t>、预算编制管理</w:t>
      </w:r>
      <w:bookmarkEnd w:id="12"/>
    </w:p>
    <w:p>
      <w:pPr>
        <w:spacing w:line="360" w:lineRule="auto"/>
        <w:ind w:firstLine="506" w:firstLineChars="181"/>
        <w:rPr>
          <w:rStyle w:val="17"/>
          <w:rFonts w:hint="eastAsia" w:eastAsia="仿宋_GB2312" w:asciiTheme="minorEastAsia" w:hAnsiTheme="minorEastAsia"/>
          <w:color w:val="auto"/>
          <w:spacing w:val="-4"/>
          <w:sz w:val="28"/>
          <w:szCs w:val="28"/>
          <w:lang w:eastAsia="zh-CN"/>
        </w:rPr>
      </w:pPr>
      <w:r>
        <w:rPr>
          <w:rFonts w:hint="eastAsia" w:ascii="仿宋_GB2312" w:eastAsia="仿宋_GB2312"/>
          <w:sz w:val="28"/>
          <w:szCs w:val="36"/>
        </w:rPr>
        <w:t>我</w:t>
      </w:r>
      <w:r>
        <w:rPr>
          <w:rStyle w:val="17"/>
          <w:rFonts w:hint="eastAsia" w:ascii="仿宋_GB2312" w:hAnsi="楷体" w:eastAsia="仿宋_GB2312"/>
          <w:b w:val="0"/>
          <w:spacing w:val="-4"/>
          <w:sz w:val="28"/>
          <w:szCs w:val="28"/>
          <w:lang w:val="en-US" w:eastAsia="zh-CN"/>
        </w:rPr>
        <w:t>单位</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公开</w:t>
      </w:r>
      <w:r>
        <w:rPr>
          <w:rFonts w:hint="eastAsia" w:ascii="仿宋_GB2312" w:eastAsia="仿宋_GB2312"/>
          <w:sz w:val="28"/>
          <w:szCs w:val="36"/>
        </w:rPr>
        <w:t>要求，部门预算及绩效目标在</w:t>
      </w:r>
      <w:r>
        <w:rPr>
          <w:rFonts w:hint="eastAsia" w:ascii="仿宋_GB2312" w:eastAsia="仿宋_GB2312"/>
          <w:sz w:val="28"/>
          <w:szCs w:val="36"/>
          <w:lang w:val="en-US" w:eastAsia="zh-CN"/>
        </w:rPr>
        <w:t>政府信息网</w:t>
      </w:r>
      <w:r>
        <w:rPr>
          <w:rFonts w:hint="eastAsia" w:ascii="仿宋_GB2312" w:eastAsia="仿宋_GB2312"/>
          <w:sz w:val="28"/>
          <w:szCs w:val="36"/>
        </w:rPr>
        <w:t>公开，</w:t>
      </w:r>
      <w:r>
        <w:rPr>
          <w:rFonts w:ascii="仿宋_GB2312" w:eastAsia="仿宋_GB2312"/>
          <w:sz w:val="28"/>
          <w:szCs w:val="36"/>
          <w:lang w:val="zh-CN"/>
        </w:rPr>
        <w:t>广泛接受社</w:t>
      </w:r>
      <w:r>
        <w:rPr>
          <w:rFonts w:ascii="仿宋_GB2312" w:eastAsia="仿宋_GB2312"/>
          <w:color w:val="auto"/>
          <w:sz w:val="28"/>
          <w:szCs w:val="36"/>
          <w:lang w:val="zh-CN"/>
        </w:rPr>
        <w:t>会监督</w:t>
      </w:r>
      <w:r>
        <w:rPr>
          <w:rStyle w:val="17"/>
          <w:rFonts w:hint="eastAsia" w:eastAsia="仿宋_GB2312" w:asciiTheme="minorEastAsia" w:hAnsiTheme="minorEastAsia"/>
          <w:color w:val="auto"/>
          <w:spacing w:val="-4"/>
          <w:sz w:val="28"/>
          <w:szCs w:val="28"/>
          <w:lang w:eastAsia="zh-CN"/>
        </w:rPr>
        <w:t>。</w:t>
      </w:r>
    </w:p>
    <w:p>
      <w:pPr>
        <w:pStyle w:val="5"/>
        <w:spacing w:line="360" w:lineRule="auto"/>
        <w:ind w:firstLine="562" w:firstLineChars="200"/>
        <w:rPr>
          <w:rStyle w:val="17"/>
          <w:rFonts w:ascii="仿宋" w:hAnsi="仿宋" w:eastAsia="仿宋"/>
          <w:b/>
          <w:bCs/>
          <w:color w:val="auto"/>
        </w:rPr>
      </w:pPr>
      <w:bookmarkStart w:id="13" w:name="_Toc70450300"/>
      <w:r>
        <w:rPr>
          <w:rStyle w:val="17"/>
          <w:rFonts w:hint="eastAsia" w:ascii="仿宋" w:hAnsi="仿宋" w:eastAsia="仿宋"/>
          <w:b/>
          <w:bCs/>
          <w:color w:val="auto"/>
        </w:rPr>
        <w:t>2</w:t>
      </w:r>
      <w:r>
        <w:rPr>
          <w:rStyle w:val="17"/>
          <w:rFonts w:ascii="仿宋" w:hAnsi="仿宋" w:eastAsia="仿宋"/>
          <w:b/>
          <w:bCs/>
          <w:color w:val="auto"/>
        </w:rPr>
        <w:t>、预算</w:t>
      </w:r>
      <w:r>
        <w:rPr>
          <w:rStyle w:val="17"/>
          <w:rFonts w:hint="eastAsia" w:ascii="仿宋" w:hAnsi="仿宋" w:eastAsia="仿宋"/>
          <w:b/>
          <w:bCs/>
          <w:color w:val="auto"/>
        </w:rPr>
        <w:t>支出</w:t>
      </w:r>
      <w:r>
        <w:rPr>
          <w:rStyle w:val="17"/>
          <w:rFonts w:ascii="仿宋" w:hAnsi="仿宋" w:eastAsia="仿宋"/>
          <w:b/>
          <w:bCs/>
          <w:color w:val="auto"/>
        </w:rPr>
        <w:t>管理</w:t>
      </w:r>
      <w:bookmarkEnd w:id="13"/>
    </w:p>
    <w:p>
      <w:pPr>
        <w:spacing w:line="360" w:lineRule="auto"/>
        <w:ind w:firstLine="560" w:firstLineChars="200"/>
        <w:rPr>
          <w:rStyle w:val="17"/>
          <w:b w:val="0"/>
          <w:bCs w:val="0"/>
        </w:rPr>
      </w:pPr>
      <w:r>
        <w:rPr>
          <w:rFonts w:hint="eastAsia" w:ascii="仿宋_GB2312" w:eastAsia="仿宋_GB2312"/>
          <w:sz w:val="28"/>
          <w:szCs w:val="36"/>
        </w:rPr>
        <w:t>我</w:t>
      </w:r>
      <w:r>
        <w:rPr>
          <w:rStyle w:val="17"/>
          <w:rFonts w:hint="eastAsia" w:ascii="仿宋_GB2312" w:hAnsi="楷体" w:eastAsia="仿宋_GB2312"/>
          <w:b w:val="0"/>
          <w:spacing w:val="-4"/>
          <w:sz w:val="28"/>
          <w:szCs w:val="28"/>
          <w:lang w:val="en-US" w:eastAsia="zh-CN"/>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规定流程，资金支出按照我内控体系中设定的流程申报审批进行；项目支出属于政府采购的，按照《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rPr>
          <w:rStyle w:val="17"/>
          <w:b/>
          <w:bCs/>
          <w:sz w:val="28"/>
          <w:szCs w:val="28"/>
        </w:rPr>
      </w:pPr>
      <w:bookmarkStart w:id="14" w:name="_Toc70450301"/>
      <w:r>
        <w:rPr>
          <w:rStyle w:val="17"/>
          <w:rFonts w:hint="eastAsia"/>
          <w:b/>
          <w:bCs/>
          <w:sz w:val="28"/>
          <w:szCs w:val="28"/>
        </w:rPr>
        <w:t>（二）基本支出管理及使用情况</w:t>
      </w:r>
      <w:bookmarkEnd w:id="14"/>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2021年基本支出预算安排</w:t>
      </w:r>
      <w:r>
        <w:rPr>
          <w:rStyle w:val="17"/>
          <w:rFonts w:hint="eastAsia" w:ascii="仿宋_GB2312" w:hAnsi="楷体" w:eastAsia="仿宋_GB2312"/>
          <w:b w:val="0"/>
          <w:spacing w:val="-4"/>
          <w:sz w:val="28"/>
          <w:szCs w:val="28"/>
          <w:lang w:val="en-US" w:eastAsia="zh-CN"/>
        </w:rPr>
        <w:t>612.39</w:t>
      </w:r>
      <w:r>
        <w:rPr>
          <w:rStyle w:val="17"/>
          <w:rFonts w:hint="eastAsia" w:ascii="仿宋_GB2312" w:hAnsi="楷体" w:eastAsia="仿宋_GB2312"/>
          <w:b w:val="0"/>
          <w:spacing w:val="-4"/>
          <w:sz w:val="28"/>
          <w:szCs w:val="28"/>
        </w:rPr>
        <w:t>万元，实际到位</w:t>
      </w:r>
      <w:r>
        <w:rPr>
          <w:rStyle w:val="17"/>
          <w:rFonts w:hint="eastAsia" w:ascii="仿宋_GB2312" w:hAnsi="楷体" w:eastAsia="仿宋_GB2312"/>
          <w:b w:val="0"/>
          <w:spacing w:val="-4"/>
          <w:sz w:val="28"/>
          <w:szCs w:val="28"/>
          <w:lang w:val="en-US" w:eastAsia="zh-CN"/>
        </w:rPr>
        <w:t>612.39</w:t>
      </w:r>
      <w:r>
        <w:rPr>
          <w:rStyle w:val="17"/>
          <w:rFonts w:hint="eastAsia" w:ascii="仿宋_GB2312" w:hAnsi="楷体" w:eastAsia="仿宋_GB2312"/>
          <w:b w:val="0"/>
          <w:spacing w:val="-4"/>
          <w:sz w:val="28"/>
          <w:szCs w:val="28"/>
        </w:rPr>
        <w:t>万元,实际支出</w:t>
      </w:r>
      <w:r>
        <w:rPr>
          <w:rStyle w:val="17"/>
          <w:rFonts w:hint="eastAsia" w:ascii="仿宋_GB2312" w:hAnsi="楷体" w:eastAsia="仿宋_GB2312"/>
          <w:b w:val="0"/>
          <w:spacing w:val="-4"/>
          <w:sz w:val="28"/>
          <w:szCs w:val="28"/>
          <w:lang w:val="en-US" w:eastAsia="zh-CN"/>
        </w:rPr>
        <w:t>612.39</w:t>
      </w:r>
      <w:r>
        <w:rPr>
          <w:rStyle w:val="17"/>
          <w:rFonts w:hint="eastAsia" w:ascii="仿宋_GB2312" w:hAnsi="楷体" w:eastAsia="仿宋_GB2312"/>
          <w:b w:val="0"/>
          <w:spacing w:val="-4"/>
          <w:sz w:val="28"/>
          <w:szCs w:val="28"/>
        </w:rPr>
        <w:t>万元，占总支出的</w:t>
      </w:r>
      <w:r>
        <w:rPr>
          <w:rStyle w:val="17"/>
          <w:rFonts w:hint="eastAsia" w:ascii="仿宋_GB2312" w:hAnsi="楷体" w:eastAsia="仿宋_GB2312"/>
          <w:b w:val="0"/>
          <w:spacing w:val="-4"/>
          <w:sz w:val="28"/>
          <w:szCs w:val="28"/>
          <w:lang w:val="en-US" w:eastAsia="zh-CN"/>
        </w:rPr>
        <w:t>41.91</w:t>
      </w:r>
      <w:r>
        <w:rPr>
          <w:rStyle w:val="17"/>
          <w:rFonts w:hint="eastAsia" w:ascii="仿宋_GB2312" w:hAnsi="楷体" w:eastAsia="仿宋_GB2312"/>
          <w:b w:val="0"/>
          <w:spacing w:val="-4"/>
          <w:sz w:val="28"/>
          <w:szCs w:val="28"/>
        </w:rPr>
        <w:t>％，其中：工资福利支出</w:t>
      </w:r>
      <w:r>
        <w:rPr>
          <w:rStyle w:val="17"/>
          <w:rFonts w:hint="eastAsia" w:ascii="仿宋_GB2312" w:hAnsi="楷体" w:eastAsia="仿宋_GB2312"/>
          <w:b w:val="0"/>
          <w:spacing w:val="-4"/>
          <w:sz w:val="28"/>
          <w:szCs w:val="28"/>
          <w:lang w:val="en-US" w:eastAsia="zh-CN"/>
        </w:rPr>
        <w:t>572.03</w:t>
      </w:r>
      <w:r>
        <w:rPr>
          <w:rStyle w:val="17"/>
          <w:rFonts w:hint="eastAsia" w:ascii="仿宋_GB2312" w:hAnsi="楷体" w:eastAsia="仿宋_GB2312"/>
          <w:b w:val="0"/>
          <w:spacing w:val="-4"/>
          <w:sz w:val="28"/>
          <w:szCs w:val="28"/>
        </w:rPr>
        <w:t>万元、商品和服务支出</w:t>
      </w:r>
      <w:r>
        <w:rPr>
          <w:rStyle w:val="17"/>
          <w:rFonts w:hint="eastAsia" w:ascii="仿宋_GB2312" w:hAnsi="楷体" w:eastAsia="仿宋_GB2312"/>
          <w:b w:val="0"/>
          <w:spacing w:val="-4"/>
          <w:sz w:val="28"/>
          <w:szCs w:val="28"/>
          <w:lang w:val="en-US" w:eastAsia="zh-CN"/>
        </w:rPr>
        <w:t>29.19</w:t>
      </w:r>
      <w:r>
        <w:rPr>
          <w:rStyle w:val="17"/>
          <w:rFonts w:hint="eastAsia" w:ascii="仿宋_GB2312" w:hAnsi="楷体" w:eastAsia="仿宋_GB2312"/>
          <w:b w:val="0"/>
          <w:spacing w:val="-4"/>
          <w:sz w:val="28"/>
          <w:szCs w:val="28"/>
        </w:rPr>
        <w:t>万元、对个人和家庭的补助</w:t>
      </w:r>
      <w:r>
        <w:rPr>
          <w:rStyle w:val="17"/>
          <w:rFonts w:hint="eastAsia" w:ascii="仿宋_GB2312" w:hAnsi="楷体" w:eastAsia="仿宋_GB2312"/>
          <w:b w:val="0"/>
          <w:spacing w:val="-4"/>
          <w:sz w:val="28"/>
          <w:szCs w:val="28"/>
          <w:lang w:val="en-US" w:eastAsia="zh-CN"/>
        </w:rPr>
        <w:t>11.17</w:t>
      </w:r>
      <w:r>
        <w:rPr>
          <w:rStyle w:val="17"/>
          <w:rFonts w:hint="eastAsia" w:ascii="仿宋_GB2312" w:hAnsi="楷体" w:eastAsia="仿宋_GB2312"/>
          <w:b w:val="0"/>
          <w:spacing w:val="-4"/>
          <w:sz w:val="28"/>
          <w:szCs w:val="28"/>
        </w:rPr>
        <w:t>万元、主要用于人员支出和公用支出。公用经费主要包括：办公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资本性支出</w:t>
      </w:r>
      <w:r>
        <w:rPr>
          <w:rStyle w:val="17"/>
          <w:rFonts w:ascii="仿宋_GB2312" w:hAnsi="楷体" w:eastAsia="仿宋_GB2312"/>
          <w:b w:val="0"/>
          <w:spacing w:val="-4"/>
          <w:sz w:val="28"/>
          <w:szCs w:val="28"/>
        </w:rPr>
        <w:t xml:space="preserve"> </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2021年基本支出比上年</w:t>
      </w:r>
      <w:r>
        <w:rPr>
          <w:rStyle w:val="17"/>
          <w:rFonts w:hint="eastAsia" w:ascii="仿宋_GB2312" w:hAnsi="楷体" w:eastAsia="仿宋_GB2312"/>
          <w:b w:val="0"/>
          <w:spacing w:val="-4"/>
          <w:sz w:val="28"/>
          <w:szCs w:val="28"/>
          <w:lang w:val="en-US" w:eastAsia="zh-CN"/>
        </w:rPr>
        <w:t>586.75</w:t>
      </w:r>
      <w:r>
        <w:rPr>
          <w:rStyle w:val="17"/>
          <w:rFonts w:hint="eastAsia" w:ascii="仿宋_GB2312" w:hAnsi="楷体" w:eastAsia="仿宋_GB2312"/>
          <w:b w:val="0"/>
          <w:spacing w:val="-4"/>
          <w:sz w:val="28"/>
          <w:szCs w:val="28"/>
        </w:rPr>
        <w:t>万元,增加</w:t>
      </w:r>
      <w:r>
        <w:rPr>
          <w:rStyle w:val="17"/>
          <w:rFonts w:hint="eastAsia" w:ascii="仿宋_GB2312" w:hAnsi="楷体" w:eastAsia="仿宋_GB2312"/>
          <w:b w:val="0"/>
          <w:spacing w:val="-4"/>
          <w:sz w:val="28"/>
          <w:szCs w:val="28"/>
          <w:lang w:val="en-US" w:eastAsia="zh-CN"/>
        </w:rPr>
        <w:t>25.64</w:t>
      </w:r>
      <w:r>
        <w:rPr>
          <w:rStyle w:val="17"/>
          <w:rFonts w:hint="eastAsia" w:ascii="仿宋_GB2312" w:hAnsi="楷体" w:eastAsia="仿宋_GB2312"/>
          <w:b w:val="0"/>
          <w:spacing w:val="-4"/>
          <w:sz w:val="28"/>
          <w:szCs w:val="28"/>
        </w:rPr>
        <w:t>万元，上升</w:t>
      </w:r>
      <w:r>
        <w:rPr>
          <w:rStyle w:val="17"/>
          <w:rFonts w:hint="eastAsia" w:ascii="仿宋_GB2312" w:hAnsi="楷体" w:eastAsia="仿宋_GB2312"/>
          <w:b w:val="0"/>
          <w:spacing w:val="-4"/>
          <w:sz w:val="28"/>
          <w:szCs w:val="28"/>
          <w:lang w:val="en-US" w:eastAsia="zh-CN"/>
        </w:rPr>
        <w:t>4.37</w:t>
      </w:r>
      <w:r>
        <w:rPr>
          <w:rStyle w:val="17"/>
          <w:rFonts w:ascii="仿宋_GB2312" w:hAnsi="宋体" w:eastAsia="仿宋_GB2312"/>
          <w:b w:val="0"/>
          <w:bCs w:val="0"/>
          <w:spacing w:val="-4"/>
          <w:sz w:val="28"/>
          <w:szCs w:val="28"/>
        </w:rPr>
        <w:t>%</w:t>
      </w:r>
      <w:r>
        <w:rPr>
          <w:rStyle w:val="17"/>
          <w:rFonts w:hint="eastAsia" w:ascii="仿宋_GB2312" w:hAnsi="楷体" w:eastAsia="仿宋_GB2312"/>
          <w:b w:val="0"/>
          <w:spacing w:val="-4"/>
          <w:sz w:val="28"/>
          <w:szCs w:val="28"/>
        </w:rPr>
        <w:t>，支出上升的主要原因是正常升级及人员等级变动工资有所变化以及社保基数上调社保缴费增加，住房公积金基数也上调， 比上年有所增加。</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年一般公共预算“三公”经费数为</w:t>
      </w:r>
      <w:r>
        <w:rPr>
          <w:rStyle w:val="17"/>
          <w:rFonts w:hint="eastAsia" w:ascii="仿宋_GB2312" w:hAnsi="楷体" w:eastAsia="仿宋_GB2312"/>
          <w:b w:val="0"/>
          <w:spacing w:val="-4"/>
          <w:sz w:val="28"/>
          <w:szCs w:val="28"/>
          <w:lang w:val="en-US" w:eastAsia="zh-CN"/>
        </w:rPr>
        <w:t>0.27</w:t>
      </w:r>
      <w:r>
        <w:rPr>
          <w:rStyle w:val="17"/>
          <w:rFonts w:hint="eastAsia" w:ascii="仿宋_GB2312" w:hAnsi="楷体" w:eastAsia="仿宋_GB2312"/>
          <w:b w:val="0"/>
          <w:spacing w:val="-4"/>
          <w:sz w:val="28"/>
          <w:szCs w:val="28"/>
        </w:rPr>
        <w:t>万元，其中：因公出国（境）费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万元，公务用车购置</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万元，公务用车运行费</w:t>
      </w:r>
      <w:r>
        <w:rPr>
          <w:rStyle w:val="17"/>
          <w:rFonts w:hint="eastAsia" w:ascii="仿宋_GB2312" w:hAnsi="楷体" w:eastAsia="仿宋_GB2312"/>
          <w:b w:val="0"/>
          <w:spacing w:val="-4"/>
          <w:sz w:val="28"/>
          <w:szCs w:val="28"/>
          <w:lang w:val="en-US" w:eastAsia="zh-CN"/>
        </w:rPr>
        <w:t>0.27</w:t>
      </w:r>
      <w:r>
        <w:rPr>
          <w:rStyle w:val="17"/>
          <w:rFonts w:hint="eastAsia" w:ascii="仿宋_GB2312" w:hAnsi="楷体" w:eastAsia="仿宋_GB2312"/>
          <w:b w:val="0"/>
          <w:spacing w:val="-4"/>
          <w:sz w:val="28"/>
          <w:szCs w:val="28"/>
        </w:rPr>
        <w:t>万元，公务接待费</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p>
    <w:p>
      <w:pPr>
        <w:spacing w:line="360" w:lineRule="auto"/>
        <w:ind w:firstLine="492" w:firstLineChars="181"/>
        <w:rPr>
          <w:rStyle w:val="17"/>
          <w:rFonts w:ascii="仿宋_GB2312" w:hAnsi="楷体" w:eastAsia="仿宋_GB2312"/>
          <w:b w:val="0"/>
          <w:spacing w:val="-4"/>
          <w:sz w:val="28"/>
          <w:szCs w:val="28"/>
        </w:rPr>
      </w:pPr>
      <w:r>
        <w:rPr>
          <w:rStyle w:val="17"/>
          <w:rFonts w:ascii="仿宋_GB2312" w:hAnsi="楷体" w:eastAsia="仿宋_GB2312"/>
          <w:b w:val="0"/>
          <w:spacing w:val="-4"/>
          <w:sz w:val="28"/>
          <w:szCs w:val="28"/>
        </w:rPr>
        <w:t>2021</w:t>
      </w:r>
      <w:r>
        <w:rPr>
          <w:rStyle w:val="17"/>
          <w:rFonts w:hint="eastAsia" w:ascii="仿宋_GB2312" w:hAnsi="楷体" w:eastAsia="仿宋_GB2312"/>
          <w:b w:val="0"/>
          <w:spacing w:val="-4"/>
          <w:sz w:val="28"/>
          <w:szCs w:val="28"/>
        </w:rPr>
        <w:t>年一般公共预算“三公”经费比上年减少</w:t>
      </w:r>
      <w:r>
        <w:rPr>
          <w:rStyle w:val="17"/>
          <w:rFonts w:hint="eastAsia" w:ascii="仿宋_GB2312" w:hAnsi="楷体" w:eastAsia="仿宋_GB2312"/>
          <w:b w:val="0"/>
          <w:spacing w:val="-4"/>
          <w:sz w:val="28"/>
          <w:szCs w:val="28"/>
          <w:lang w:val="en-US" w:eastAsia="zh-CN"/>
        </w:rPr>
        <w:t>0.33</w:t>
      </w:r>
      <w:r>
        <w:rPr>
          <w:rStyle w:val="17"/>
          <w:rFonts w:hint="eastAsia" w:ascii="仿宋_GB2312" w:hAnsi="楷体" w:eastAsia="仿宋_GB2312"/>
          <w:b w:val="0"/>
          <w:spacing w:val="-4"/>
          <w:sz w:val="28"/>
          <w:szCs w:val="28"/>
        </w:rPr>
        <w:t>万元，其中：因公出国（境）费增加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万元，主要原因是未安排预算；公务用车购置费为0，未安排预算；公务用车运行费减少</w:t>
      </w:r>
      <w:r>
        <w:rPr>
          <w:rStyle w:val="17"/>
          <w:rFonts w:hint="eastAsia" w:ascii="仿宋_GB2312" w:hAnsi="楷体" w:eastAsia="仿宋_GB2312"/>
          <w:b w:val="0"/>
          <w:spacing w:val="-4"/>
          <w:sz w:val="28"/>
          <w:szCs w:val="28"/>
          <w:lang w:val="en-US" w:eastAsia="zh-CN"/>
        </w:rPr>
        <w:t>0.33</w:t>
      </w:r>
      <w:r>
        <w:rPr>
          <w:rStyle w:val="17"/>
          <w:rFonts w:hint="eastAsia" w:ascii="仿宋_GB2312" w:hAnsi="楷体" w:eastAsia="仿宋_GB2312"/>
          <w:b w:val="0"/>
          <w:spacing w:val="-4"/>
          <w:sz w:val="28"/>
          <w:szCs w:val="28"/>
        </w:rPr>
        <w:t>万元，主要原因是我</w:t>
      </w:r>
      <w:r>
        <w:rPr>
          <w:rStyle w:val="17"/>
          <w:rFonts w:hint="eastAsia" w:ascii="仿宋_GB2312" w:hAnsi="楷体" w:eastAsia="仿宋_GB2312"/>
          <w:b w:val="0"/>
          <w:spacing w:val="-4"/>
          <w:sz w:val="28"/>
          <w:szCs w:val="28"/>
          <w:lang w:val="en-US" w:eastAsia="zh-CN"/>
        </w:rPr>
        <w:t>单位</w:t>
      </w:r>
      <w:r>
        <w:rPr>
          <w:rStyle w:val="17"/>
          <w:rFonts w:hint="eastAsia" w:ascii="仿宋_GB2312" w:hAnsi="楷体" w:eastAsia="仿宋_GB2312"/>
          <w:b w:val="0"/>
          <w:spacing w:val="-4"/>
          <w:sz w:val="28"/>
          <w:szCs w:val="28"/>
        </w:rPr>
        <w:t>认真贯彻落实中央关于厉行节约的有关规定，严格执行《党政机关厉行节约反对浪费条例》，从严控制一般性支出；公务接待费增加</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万元，主要原因是未安排预算。</w:t>
      </w:r>
    </w:p>
    <w:p>
      <w:pPr>
        <w:pStyle w:val="4"/>
        <w:spacing w:line="360" w:lineRule="auto"/>
        <w:rPr>
          <w:rStyle w:val="17"/>
          <w:rFonts w:ascii="仿宋" w:hAnsi="仿宋" w:eastAsia="仿宋"/>
          <w:b/>
          <w:bCs/>
        </w:rPr>
      </w:pPr>
      <w:bookmarkStart w:id="15" w:name="_Toc70450302"/>
      <w:r>
        <w:rPr>
          <w:rStyle w:val="17"/>
          <w:rFonts w:hint="eastAsia" w:ascii="仿宋" w:hAnsi="仿宋" w:eastAsia="仿宋"/>
          <w:b/>
          <w:bCs/>
        </w:rPr>
        <w:t>（三）专项支出管理及使用情况</w:t>
      </w:r>
      <w:bookmarkEnd w:id="15"/>
    </w:p>
    <w:p>
      <w:pPr>
        <w:pStyle w:val="5"/>
        <w:spacing w:line="360" w:lineRule="auto"/>
        <w:ind w:firstLine="562" w:firstLineChars="200"/>
        <w:rPr>
          <w:rStyle w:val="17"/>
          <w:rFonts w:ascii="仿宋" w:hAnsi="仿宋" w:eastAsia="仿宋"/>
          <w:b/>
          <w:bCs/>
          <w:highlight w:val="none"/>
        </w:rPr>
      </w:pPr>
      <w:bookmarkStart w:id="16" w:name="_Toc70450303"/>
      <w:r>
        <w:rPr>
          <w:rStyle w:val="17"/>
          <w:rFonts w:hint="eastAsia" w:ascii="仿宋" w:hAnsi="仿宋" w:eastAsia="仿宋"/>
          <w:b/>
          <w:bCs/>
          <w:highlight w:val="none"/>
        </w:rPr>
        <w:t>1、专项资金安排落实、总投入等情况分析</w:t>
      </w:r>
      <w:bookmarkEnd w:id="16"/>
    </w:p>
    <w:p>
      <w:pPr>
        <w:spacing w:line="360" w:lineRule="auto"/>
        <w:ind w:firstLine="492" w:firstLineChars="181"/>
        <w:rPr>
          <w:rStyle w:val="17"/>
          <w:rFonts w:ascii="仿宋_GB2312" w:hAnsi="楷体" w:eastAsia="仿宋_GB2312"/>
          <w:b w:val="0"/>
          <w:spacing w:val="-4"/>
          <w:sz w:val="28"/>
          <w:szCs w:val="28"/>
          <w:highlight w:val="none"/>
        </w:rPr>
      </w:pP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年预算安排专项资金</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w:t>
      </w:r>
      <w:r>
        <w:rPr>
          <w:rFonts w:hint="eastAsia"/>
          <w:highlight w:val="none"/>
        </w:rPr>
        <w:t xml:space="preserve"> </w:t>
      </w:r>
      <w:r>
        <w:rPr>
          <w:rStyle w:val="17"/>
          <w:rFonts w:hint="eastAsia" w:ascii="仿宋_GB2312" w:hAnsi="楷体" w:eastAsia="仿宋_GB2312"/>
          <w:b w:val="0"/>
          <w:spacing w:val="-4"/>
          <w:sz w:val="28"/>
          <w:szCs w:val="28"/>
          <w:highlight w:val="none"/>
        </w:rPr>
        <w:t>到位率</w:t>
      </w:r>
      <w:r>
        <w:rPr>
          <w:rStyle w:val="17"/>
          <w:rFonts w:hint="eastAsia" w:ascii="仿宋_GB2312" w:hAnsi="楷体" w:eastAsia="仿宋_GB2312"/>
          <w:b w:val="0"/>
          <w:spacing w:val="-4"/>
          <w:sz w:val="28"/>
          <w:szCs w:val="28"/>
          <w:highlight w:val="none"/>
          <w:lang w:val="en-US" w:eastAsia="zh-CN"/>
        </w:rPr>
        <w:t>100.00</w:t>
      </w:r>
      <w:r>
        <w:rPr>
          <w:rStyle w:val="17"/>
          <w:rFonts w:hint="eastAsia" w:ascii="仿宋_GB2312" w:hAnsi="楷体" w:eastAsia="仿宋_GB2312"/>
          <w:b w:val="0"/>
          <w:spacing w:val="-4"/>
          <w:sz w:val="28"/>
          <w:szCs w:val="28"/>
          <w:highlight w:val="none"/>
        </w:rPr>
        <w:t>％,其中:中央转移支付项目资金</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万元，自治区资金</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万元，本级安排</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w:t>
      </w:r>
    </w:p>
    <w:p>
      <w:pPr>
        <w:pStyle w:val="5"/>
        <w:spacing w:line="360" w:lineRule="auto"/>
        <w:ind w:firstLine="562" w:firstLineChars="200"/>
        <w:rPr>
          <w:rStyle w:val="17"/>
          <w:rFonts w:ascii="仿宋" w:hAnsi="仿宋" w:eastAsia="仿宋"/>
          <w:b/>
          <w:bCs/>
        </w:rPr>
      </w:pPr>
      <w:bookmarkStart w:id="17" w:name="_Toc70450304"/>
      <w:r>
        <w:rPr>
          <w:rStyle w:val="17"/>
          <w:rFonts w:hint="eastAsia" w:ascii="仿宋" w:hAnsi="仿宋" w:eastAsia="仿宋"/>
          <w:b/>
          <w:bCs/>
        </w:rPr>
        <w:t>2、专项资金实际使用情况</w:t>
      </w:r>
      <w:bookmarkEnd w:id="17"/>
    </w:p>
    <w:p>
      <w:pPr>
        <w:spacing w:line="360" w:lineRule="auto"/>
        <w:ind w:firstLine="492" w:firstLineChars="181"/>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2021年专项资金支出</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万元，占总支出的</w:t>
      </w:r>
      <w:r>
        <w:rPr>
          <w:rStyle w:val="17"/>
          <w:rFonts w:hint="eastAsia" w:ascii="仿宋_GB2312" w:hAnsi="楷体" w:eastAsia="仿宋_GB2312"/>
          <w:b w:val="0"/>
          <w:spacing w:val="-4"/>
          <w:sz w:val="28"/>
          <w:szCs w:val="28"/>
          <w:highlight w:val="none"/>
          <w:lang w:val="en-US" w:eastAsia="zh-CN"/>
        </w:rPr>
        <w:t>2.46</w:t>
      </w:r>
      <w:r>
        <w:rPr>
          <w:rStyle w:val="17"/>
          <w:rFonts w:hint="eastAsia" w:ascii="仿宋_GB2312" w:hAnsi="楷体" w:eastAsia="仿宋_GB2312"/>
          <w:b w:val="0"/>
          <w:spacing w:val="-4"/>
          <w:sz w:val="28"/>
          <w:szCs w:val="28"/>
          <w:highlight w:val="none"/>
        </w:rPr>
        <w:t>%，其中2021年专项项目支出比上年</w:t>
      </w:r>
      <w:r>
        <w:rPr>
          <w:rStyle w:val="17"/>
          <w:rFonts w:hint="eastAsia" w:ascii="仿宋_GB2312" w:hAnsi="楷体" w:eastAsia="仿宋_GB2312"/>
          <w:b w:val="0"/>
          <w:spacing w:val="-4"/>
          <w:sz w:val="28"/>
          <w:szCs w:val="28"/>
          <w:highlight w:val="none"/>
          <w:lang w:val="en-US" w:eastAsia="zh-CN"/>
        </w:rPr>
        <w:t>247.46</w:t>
      </w:r>
      <w:r>
        <w:rPr>
          <w:rStyle w:val="17"/>
          <w:rFonts w:hint="eastAsia" w:ascii="仿宋_GB2312" w:hAnsi="楷体" w:eastAsia="仿宋_GB2312"/>
          <w:b w:val="0"/>
          <w:spacing w:val="-4"/>
          <w:sz w:val="28"/>
          <w:szCs w:val="28"/>
          <w:highlight w:val="none"/>
        </w:rPr>
        <w:t>万元减少</w:t>
      </w:r>
      <w:r>
        <w:rPr>
          <w:rStyle w:val="17"/>
          <w:rFonts w:hint="eastAsia" w:ascii="仿宋_GB2312" w:hAnsi="楷体" w:eastAsia="仿宋_GB2312"/>
          <w:b w:val="0"/>
          <w:spacing w:val="-4"/>
          <w:sz w:val="28"/>
          <w:szCs w:val="28"/>
          <w:highlight w:val="none"/>
          <w:lang w:val="en-US" w:eastAsia="zh-CN"/>
        </w:rPr>
        <w:t>211.46</w:t>
      </w:r>
      <w:r>
        <w:rPr>
          <w:rStyle w:val="17"/>
          <w:rFonts w:hint="eastAsia" w:ascii="仿宋_GB2312" w:hAnsi="楷体" w:eastAsia="仿宋_GB2312"/>
          <w:b w:val="0"/>
          <w:spacing w:val="-4"/>
          <w:sz w:val="28"/>
          <w:szCs w:val="28"/>
          <w:highlight w:val="none"/>
        </w:rPr>
        <w:t>万元，下降</w:t>
      </w:r>
      <w:r>
        <w:rPr>
          <w:rStyle w:val="17"/>
          <w:rFonts w:hint="eastAsia" w:ascii="仿宋_GB2312" w:hAnsi="楷体" w:eastAsia="仿宋_GB2312"/>
          <w:b w:val="0"/>
          <w:spacing w:val="-4"/>
          <w:sz w:val="28"/>
          <w:szCs w:val="28"/>
          <w:highlight w:val="none"/>
          <w:lang w:val="en-US" w:eastAsia="zh-CN"/>
        </w:rPr>
        <w:t>85.45</w:t>
      </w:r>
      <w:r>
        <w:rPr>
          <w:rStyle w:val="17"/>
          <w:rFonts w:hint="eastAsia" w:ascii="仿宋_GB2312" w:hAnsi="楷体" w:eastAsia="仿宋_GB2312"/>
          <w:b w:val="0"/>
          <w:spacing w:val="-4"/>
          <w:sz w:val="28"/>
          <w:szCs w:val="28"/>
          <w:highlight w:val="none"/>
        </w:rPr>
        <w:t>%。支出减少的主要原因是</w:t>
      </w:r>
      <w:r>
        <w:rPr>
          <w:rStyle w:val="17"/>
          <w:rFonts w:hint="eastAsia" w:ascii="仿宋_GB2312" w:hAnsi="楷体" w:eastAsia="仿宋_GB2312"/>
          <w:b w:val="0"/>
          <w:spacing w:val="-4"/>
          <w:sz w:val="28"/>
          <w:szCs w:val="28"/>
          <w:highlight w:val="none"/>
          <w:lang w:val="en-US" w:eastAsia="zh-CN"/>
        </w:rPr>
        <w:t>上年度存在结余资金，且2021年电视全面数字化，模拟机停放，电视模拟资金不予下拨</w:t>
      </w:r>
      <w:r>
        <w:rPr>
          <w:rStyle w:val="17"/>
          <w:rFonts w:hint="eastAsia" w:ascii="仿宋_GB2312" w:hAnsi="楷体" w:eastAsia="仿宋_GB2312"/>
          <w:b w:val="0"/>
          <w:spacing w:val="-4"/>
          <w:sz w:val="28"/>
          <w:szCs w:val="28"/>
          <w:highlight w:val="none"/>
        </w:rPr>
        <w:t>。其中：</w:t>
      </w:r>
      <w:r>
        <w:rPr>
          <w:rStyle w:val="17"/>
          <w:rFonts w:hint="eastAsia" w:ascii="仿宋_GB2312" w:hAnsi="楷体" w:eastAsia="仿宋_GB2312"/>
          <w:b w:val="0"/>
          <w:spacing w:val="-4"/>
          <w:sz w:val="28"/>
          <w:szCs w:val="28"/>
          <w:highlight w:val="none"/>
          <w:lang w:val="en-US" w:eastAsia="zh-CN"/>
        </w:rPr>
        <w:t>无线覆盖</w:t>
      </w:r>
      <w:r>
        <w:rPr>
          <w:rStyle w:val="17"/>
          <w:rFonts w:hint="eastAsia" w:ascii="仿宋_GB2312" w:hAnsi="楷体" w:eastAsia="仿宋_GB2312"/>
          <w:b w:val="0"/>
          <w:spacing w:val="-4"/>
          <w:sz w:val="28"/>
          <w:szCs w:val="28"/>
          <w:highlight w:val="none"/>
        </w:rPr>
        <w:t>项目安排</w:t>
      </w:r>
      <w:r>
        <w:rPr>
          <w:rStyle w:val="17"/>
          <w:rFonts w:hint="eastAsia" w:ascii="仿宋_GB2312" w:hAnsi="楷体" w:eastAsia="仿宋_GB2312"/>
          <w:b w:val="0"/>
          <w:spacing w:val="-4"/>
          <w:sz w:val="28"/>
          <w:szCs w:val="28"/>
          <w:highlight w:val="none"/>
          <w:lang w:val="en-US" w:eastAsia="zh-CN"/>
        </w:rPr>
        <w:t>36</w:t>
      </w:r>
      <w:r>
        <w:rPr>
          <w:rStyle w:val="17"/>
          <w:rFonts w:ascii="仿宋_GB2312" w:hAnsi="楷体" w:eastAsia="仿宋_GB2312"/>
          <w:b w:val="0"/>
          <w:spacing w:val="-4"/>
          <w:sz w:val="28"/>
          <w:szCs w:val="28"/>
          <w:highlight w:val="none"/>
        </w:rPr>
        <w:t xml:space="preserve"> </w:t>
      </w:r>
      <w:r>
        <w:rPr>
          <w:rStyle w:val="17"/>
          <w:rFonts w:hint="eastAsia" w:ascii="仿宋_GB2312" w:hAnsi="楷体" w:eastAsia="仿宋_GB2312"/>
          <w:b w:val="0"/>
          <w:spacing w:val="-4"/>
          <w:sz w:val="28"/>
          <w:szCs w:val="28"/>
          <w:highlight w:val="none"/>
        </w:rPr>
        <w:t>万元，主要用于完成</w:t>
      </w:r>
      <w:r>
        <w:rPr>
          <w:rStyle w:val="17"/>
          <w:rFonts w:hint="eastAsia" w:ascii="仿宋_GB2312" w:hAnsi="楷体" w:eastAsia="仿宋_GB2312" w:cstheme="minorBidi"/>
          <w:b w:val="0"/>
          <w:spacing w:val="-4"/>
          <w:sz w:val="28"/>
          <w:szCs w:val="28"/>
          <w:highlight w:val="none"/>
        </w:rPr>
        <w:t>主要用于完成</w:t>
      </w:r>
      <w:r>
        <w:rPr>
          <w:rStyle w:val="17"/>
          <w:rFonts w:hint="eastAsia" w:ascii="仿宋_GB2312" w:hAnsi="楷体" w:eastAsia="仿宋_GB2312" w:cstheme="minorBidi"/>
          <w:b w:val="0"/>
          <w:spacing w:val="-4"/>
          <w:sz w:val="28"/>
          <w:szCs w:val="28"/>
          <w:highlight w:val="none"/>
          <w:lang w:val="en-US" w:eastAsia="zh-CN"/>
        </w:rPr>
        <w:t>高山发射台站发射机房维修维护。</w:t>
      </w:r>
    </w:p>
    <w:p>
      <w:pPr>
        <w:pStyle w:val="5"/>
        <w:spacing w:line="360" w:lineRule="auto"/>
        <w:ind w:firstLine="562" w:firstLineChars="200"/>
        <w:rPr>
          <w:rStyle w:val="17"/>
          <w:rFonts w:ascii="仿宋" w:hAnsi="仿宋" w:eastAsia="仿宋"/>
          <w:b/>
          <w:bCs/>
        </w:rPr>
      </w:pPr>
      <w:bookmarkStart w:id="18" w:name="_Toc70450305"/>
      <w:r>
        <w:rPr>
          <w:rStyle w:val="17"/>
          <w:rFonts w:hint="eastAsia" w:ascii="仿宋" w:hAnsi="仿宋" w:eastAsia="仿宋"/>
          <w:b/>
          <w:bCs/>
        </w:rPr>
        <w:t>3、专项资金管理情况</w:t>
      </w:r>
      <w:bookmarkEnd w:id="18"/>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为规范专项资金使用，提高专项资金使用效益，我</w:t>
      </w:r>
      <w:r>
        <w:rPr>
          <w:rStyle w:val="17"/>
          <w:rFonts w:hint="eastAsia" w:ascii="仿宋_GB2312" w:hAnsi="楷体" w:eastAsia="仿宋_GB2312"/>
          <w:b w:val="0"/>
          <w:spacing w:val="-4"/>
          <w:sz w:val="28"/>
          <w:szCs w:val="28"/>
          <w:lang w:val="en-US" w:eastAsia="zh-CN"/>
        </w:rPr>
        <w:t>单位</w:t>
      </w:r>
      <w:r>
        <w:rPr>
          <w:rStyle w:val="17"/>
          <w:rFonts w:hint="eastAsia" w:ascii="仿宋_GB2312" w:hAnsi="楷体" w:eastAsia="仿宋_GB2312"/>
          <w:b w:val="0"/>
          <w:spacing w:val="-4"/>
          <w:sz w:val="28"/>
          <w:szCs w:val="28"/>
        </w:rPr>
        <w:t>主要采取</w:t>
      </w:r>
      <w:r>
        <w:rPr>
          <w:rStyle w:val="17"/>
          <w:rFonts w:hint="eastAsia" w:ascii="仿宋_GB2312" w:hAnsi="楷体" w:eastAsia="仿宋_GB2312"/>
          <w:b w:val="0"/>
          <w:spacing w:val="-4"/>
          <w:sz w:val="28"/>
          <w:szCs w:val="28"/>
          <w:lang w:val="en-US" w:eastAsia="zh-CN"/>
        </w:rPr>
        <w:t>三</w:t>
      </w:r>
      <w:r>
        <w:rPr>
          <w:rStyle w:val="17"/>
          <w:rFonts w:hint="eastAsia" w:ascii="仿宋_GB2312" w:hAnsi="楷体" w:eastAsia="仿宋_GB2312"/>
          <w:b w:val="0"/>
          <w:spacing w:val="-4"/>
          <w:sz w:val="28"/>
          <w:szCs w:val="28"/>
        </w:rPr>
        <w:t>项措施。</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一是制订专项资金管理制度；二是制订了项目实施方案；</w:t>
      </w:r>
      <w:r>
        <w:rPr>
          <w:rStyle w:val="17"/>
          <w:rFonts w:hint="eastAsia" w:ascii="仿宋_GB2312" w:hAnsi="楷体" w:eastAsia="仿宋_GB2312"/>
          <w:b w:val="0"/>
          <w:spacing w:val="-4"/>
          <w:sz w:val="28"/>
          <w:szCs w:val="28"/>
          <w:lang w:val="en-US" w:eastAsia="zh-CN"/>
        </w:rPr>
        <w:t>三</w:t>
      </w:r>
      <w:r>
        <w:rPr>
          <w:rStyle w:val="17"/>
          <w:rFonts w:hint="eastAsia" w:ascii="仿宋_GB2312" w:hAnsi="楷体" w:eastAsia="仿宋_GB2312"/>
          <w:b w:val="0"/>
          <w:spacing w:val="-4"/>
          <w:sz w:val="28"/>
          <w:szCs w:val="28"/>
        </w:rPr>
        <w:t>是认真组织项目验收。切实确保专项资金都做到了专款专用。其中：</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（1）制定了《</w:t>
      </w:r>
      <w:r>
        <w:rPr>
          <w:rStyle w:val="17"/>
          <w:rFonts w:hint="eastAsia" w:ascii="仿宋_GB2312" w:hAnsi="楷体" w:eastAsia="仿宋_GB2312"/>
          <w:b w:val="0"/>
          <w:spacing w:val="-4"/>
          <w:sz w:val="28"/>
          <w:szCs w:val="28"/>
          <w:lang w:val="en-US" w:eastAsia="zh-CN"/>
        </w:rPr>
        <w:t>无线覆盖</w:t>
      </w:r>
      <w:r>
        <w:rPr>
          <w:rStyle w:val="17"/>
          <w:rFonts w:hint="eastAsia" w:ascii="仿宋_GB2312" w:hAnsi="楷体" w:eastAsia="仿宋_GB2312"/>
          <w:b w:val="0"/>
          <w:spacing w:val="-4"/>
          <w:sz w:val="28"/>
          <w:szCs w:val="28"/>
        </w:rPr>
        <w:t>》专项资金管理办法，各项资金使用审批流程均按规定办理。涉及“三重一大”内容，严格按照规定提请局党组会审议决定，包括项目资金分配、重大项目确定、大额资金支付等。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（3）制订了</w:t>
      </w:r>
      <w:r>
        <w:rPr>
          <w:rStyle w:val="17"/>
          <w:rFonts w:hint="eastAsia" w:ascii="仿宋_GB2312" w:hAnsi="楷体" w:eastAsia="仿宋_GB2312"/>
          <w:b w:val="0"/>
          <w:spacing w:val="-4"/>
          <w:sz w:val="28"/>
          <w:szCs w:val="28"/>
          <w:lang w:val="en-US" w:eastAsia="zh-CN"/>
        </w:rPr>
        <w:t>无线覆盖</w:t>
      </w:r>
      <w:r>
        <w:rPr>
          <w:rStyle w:val="17"/>
          <w:rFonts w:hint="eastAsia" w:ascii="仿宋_GB2312" w:hAnsi="楷体" w:eastAsia="仿宋_GB2312"/>
          <w:b w:val="0"/>
          <w:spacing w:val="-4"/>
          <w:sz w:val="28"/>
          <w:szCs w:val="28"/>
        </w:rPr>
        <w:t>项目实施方案，确保项目</w:t>
      </w:r>
      <w:r>
        <w:rPr>
          <w:rStyle w:val="17"/>
          <w:rFonts w:hint="eastAsia" w:ascii="仿宋_GB2312" w:hAnsi="楷体" w:eastAsia="仿宋_GB2312"/>
          <w:b w:val="0"/>
          <w:spacing w:val="-4"/>
          <w:sz w:val="28"/>
          <w:szCs w:val="28"/>
          <w:lang w:val="en-US" w:eastAsia="zh-CN"/>
        </w:rPr>
        <w:t>全面落实</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（4）认真组织</w:t>
      </w:r>
      <w:r>
        <w:rPr>
          <w:rStyle w:val="17"/>
          <w:rFonts w:hint="eastAsia" w:ascii="仿宋_GB2312" w:hAnsi="楷体" w:eastAsia="仿宋_GB2312"/>
          <w:b w:val="0"/>
          <w:spacing w:val="-4"/>
          <w:sz w:val="28"/>
          <w:szCs w:val="28"/>
          <w:lang w:val="en-US" w:eastAsia="zh-CN"/>
        </w:rPr>
        <w:t>单位技术</w:t>
      </w:r>
      <w:r>
        <w:rPr>
          <w:rStyle w:val="17"/>
          <w:rFonts w:hint="eastAsia" w:ascii="仿宋_GB2312" w:hAnsi="楷体" w:eastAsia="仿宋_GB2312"/>
          <w:b w:val="0"/>
          <w:spacing w:val="-4"/>
          <w:sz w:val="28"/>
          <w:szCs w:val="28"/>
        </w:rPr>
        <w:t>项目</w:t>
      </w:r>
      <w:r>
        <w:rPr>
          <w:rStyle w:val="17"/>
          <w:rFonts w:hint="eastAsia" w:ascii="仿宋_GB2312" w:hAnsi="楷体" w:eastAsia="仿宋_GB2312"/>
          <w:b w:val="0"/>
          <w:spacing w:val="-4"/>
          <w:sz w:val="28"/>
          <w:szCs w:val="28"/>
          <w:lang w:val="en-US" w:eastAsia="zh-CN"/>
        </w:rPr>
        <w:t>及纪检干事</w:t>
      </w:r>
      <w:r>
        <w:rPr>
          <w:rStyle w:val="17"/>
          <w:rFonts w:hint="eastAsia" w:ascii="仿宋_GB2312" w:hAnsi="楷体" w:eastAsia="仿宋_GB2312"/>
          <w:b w:val="0"/>
          <w:spacing w:val="-4"/>
          <w:sz w:val="28"/>
          <w:szCs w:val="28"/>
        </w:rPr>
        <w:t>验收，确保</w:t>
      </w:r>
      <w:r>
        <w:rPr>
          <w:rStyle w:val="17"/>
          <w:rFonts w:hint="eastAsia" w:ascii="仿宋_GB2312" w:hAnsi="楷体" w:eastAsia="仿宋_GB2312"/>
          <w:b w:val="0"/>
          <w:spacing w:val="-4"/>
          <w:sz w:val="28"/>
          <w:szCs w:val="28"/>
          <w:lang w:val="en-US" w:eastAsia="zh-CN"/>
        </w:rPr>
        <w:t>资金合理运用</w:t>
      </w:r>
      <w:r>
        <w:rPr>
          <w:rStyle w:val="17"/>
          <w:rFonts w:hint="eastAsia" w:ascii="仿宋_GB2312" w:hAnsi="楷体" w:eastAsia="仿宋_GB2312"/>
          <w:b w:val="0"/>
          <w:spacing w:val="-4"/>
          <w:sz w:val="28"/>
          <w:szCs w:val="28"/>
        </w:rPr>
        <w:t>。</w:t>
      </w:r>
    </w:p>
    <w:p>
      <w:pPr>
        <w:spacing w:line="360" w:lineRule="auto"/>
        <w:ind w:firstLine="492" w:firstLineChars="181"/>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专项资金涉及政府采购项目的，按照《购与招标管理办法》组织人员制定采购计划，按照财政局采购部门批复，进行公开招标、邀请招标等方式进行。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19" w:name="_Toc70450306"/>
      <w:r>
        <w:rPr>
          <w:rFonts w:hint="eastAsia" w:ascii="仿宋" w:hAnsi="仿宋" w:eastAsia="仿宋"/>
          <w:sz w:val="36"/>
          <w:szCs w:val="36"/>
          <w:lang w:bidi="ar"/>
        </w:rPr>
        <w:t>三、部门单位专项组织实施情况</w:t>
      </w:r>
      <w:bookmarkEnd w:id="19"/>
    </w:p>
    <w:p>
      <w:pPr>
        <w:pStyle w:val="5"/>
        <w:numPr>
          <w:ilvl w:val="0"/>
          <w:numId w:val="2"/>
        </w:numPr>
        <w:spacing w:line="360" w:lineRule="auto"/>
        <w:rPr>
          <w:rStyle w:val="17"/>
          <w:rFonts w:ascii="仿宋" w:hAnsi="仿宋" w:eastAsia="仿宋"/>
          <w:b/>
          <w:bCs/>
        </w:rPr>
      </w:pPr>
      <w:bookmarkStart w:id="20" w:name="_Toc70450308"/>
      <w:r>
        <w:rPr>
          <w:rStyle w:val="17"/>
          <w:rFonts w:hint="eastAsia" w:ascii="仿宋" w:hAnsi="仿宋" w:eastAsia="仿宋"/>
          <w:b/>
          <w:bCs/>
        </w:rPr>
        <w:t>专项组织情况分析</w:t>
      </w:r>
      <w:bookmarkEnd w:id="20"/>
    </w:p>
    <w:p>
      <w:pPr>
        <w:snapToGrid w:val="0"/>
        <w:spacing w:line="360" w:lineRule="auto"/>
        <w:ind w:firstLine="544" w:firstLineChars="200"/>
        <w:rPr>
          <w:rStyle w:val="17"/>
          <w:rFonts w:ascii="仿宋_GB2312" w:hAnsi="楷体" w:eastAsia="仿宋_GB2312"/>
          <w:b w:val="0"/>
          <w:bCs w:val="0"/>
          <w:color w:val="FF0000"/>
          <w:spacing w:val="-4"/>
          <w:sz w:val="28"/>
          <w:szCs w:val="28"/>
        </w:rPr>
      </w:pPr>
      <w:r>
        <w:rPr>
          <w:rStyle w:val="17"/>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年初我</w:t>
      </w:r>
      <w:r>
        <w:rPr>
          <w:rStyle w:val="17"/>
          <w:rFonts w:hint="eastAsia" w:ascii="仿宋_GB2312" w:hAnsi="楷体" w:eastAsia="仿宋_GB2312"/>
          <w:b w:val="0"/>
          <w:bCs w:val="0"/>
          <w:color w:val="auto"/>
          <w:spacing w:val="-4"/>
          <w:sz w:val="28"/>
          <w:szCs w:val="28"/>
          <w:lang w:val="en-US" w:eastAsia="zh-CN"/>
        </w:rPr>
        <w:t>单位</w:t>
      </w:r>
      <w:r>
        <w:rPr>
          <w:rStyle w:val="17"/>
          <w:rFonts w:hint="eastAsia" w:ascii="仿宋_GB2312" w:hAnsi="楷体" w:eastAsia="仿宋_GB2312"/>
          <w:b w:val="0"/>
          <w:bCs w:val="0"/>
          <w:color w:val="auto"/>
          <w:spacing w:val="-4"/>
          <w:sz w:val="28"/>
          <w:szCs w:val="28"/>
        </w:rPr>
        <w:t>下发的</w:t>
      </w:r>
      <w:r>
        <w:rPr>
          <w:rStyle w:val="17"/>
          <w:rFonts w:hint="eastAsia" w:ascii="仿宋_GB2312" w:hAnsi="楷体" w:eastAsia="仿宋_GB2312"/>
          <w:b w:val="0"/>
          <w:bCs w:val="0"/>
          <w:color w:val="auto"/>
          <w:spacing w:val="-4"/>
          <w:sz w:val="28"/>
          <w:szCs w:val="28"/>
          <w:lang w:val="en-US" w:eastAsia="zh-CN"/>
        </w:rPr>
        <w:t>无线覆盖</w:t>
      </w:r>
      <w:r>
        <w:rPr>
          <w:rStyle w:val="17"/>
          <w:rFonts w:hint="eastAsia" w:ascii="仿宋_GB2312" w:hAnsi="楷体" w:eastAsia="仿宋_GB2312"/>
          <w:b w:val="0"/>
          <w:bCs w:val="0"/>
          <w:color w:val="auto"/>
          <w:spacing w:val="-4"/>
          <w:sz w:val="28"/>
          <w:szCs w:val="28"/>
        </w:rPr>
        <w:t>专项</w:t>
      </w:r>
      <w:r>
        <w:rPr>
          <w:rStyle w:val="17"/>
          <w:rFonts w:hint="eastAsia" w:ascii="仿宋_GB2312" w:hAnsi="楷体" w:eastAsia="仿宋_GB2312"/>
          <w:b w:val="0"/>
          <w:bCs w:val="0"/>
          <w:color w:val="auto"/>
          <w:spacing w:val="-4"/>
          <w:sz w:val="28"/>
          <w:szCs w:val="28"/>
          <w:lang w:val="en-US" w:eastAsia="zh-CN"/>
        </w:rPr>
        <w:t>及融媒体建设资金</w:t>
      </w:r>
      <w:r>
        <w:rPr>
          <w:rStyle w:val="17"/>
          <w:rFonts w:hint="eastAsia" w:ascii="仿宋_GB2312" w:hAnsi="楷体" w:eastAsia="仿宋_GB2312"/>
          <w:b w:val="0"/>
          <w:bCs w:val="0"/>
          <w:color w:val="auto"/>
          <w:spacing w:val="-4"/>
          <w:sz w:val="28"/>
          <w:szCs w:val="28"/>
        </w:rPr>
        <w:t>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w:t>
      </w:r>
      <w:r>
        <w:rPr>
          <w:rStyle w:val="17"/>
          <w:rFonts w:ascii="仿宋_GB2312" w:hAnsi="楷体" w:eastAsia="仿宋_GB2312"/>
          <w:b w:val="0"/>
          <w:bCs w:val="0"/>
          <w:color w:val="auto"/>
          <w:spacing w:val="-4"/>
          <w:sz w:val="28"/>
          <w:szCs w:val="28"/>
        </w:rPr>
        <w:t>1</w:t>
      </w:r>
      <w:r>
        <w:rPr>
          <w:rStyle w:val="17"/>
          <w:rFonts w:hint="eastAsia" w:ascii="仿宋_GB2312" w:hAnsi="楷体" w:eastAsia="仿宋_GB2312"/>
          <w:b w:val="0"/>
          <w:bCs w:val="0"/>
          <w:color w:val="auto"/>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我</w:t>
      </w:r>
      <w:r>
        <w:rPr>
          <w:rStyle w:val="17"/>
          <w:rFonts w:hint="eastAsia" w:ascii="仿宋_GB2312" w:hAnsi="楷体" w:eastAsia="仿宋_GB2312"/>
          <w:b w:val="0"/>
          <w:bCs w:val="0"/>
          <w:color w:val="auto"/>
          <w:spacing w:val="-4"/>
          <w:sz w:val="28"/>
          <w:szCs w:val="28"/>
          <w:lang w:val="en-US" w:eastAsia="zh-CN"/>
        </w:rPr>
        <w:t>单位</w:t>
      </w:r>
      <w:r>
        <w:rPr>
          <w:rStyle w:val="17"/>
          <w:rFonts w:hint="eastAsia" w:ascii="仿宋_GB2312" w:hAnsi="楷体" w:eastAsia="仿宋_GB2312"/>
          <w:b w:val="0"/>
          <w:bCs w:val="0"/>
          <w:color w:val="auto"/>
          <w:spacing w:val="-4"/>
          <w:sz w:val="28"/>
          <w:szCs w:val="28"/>
        </w:rPr>
        <w:t>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snapToGrid w:val="0"/>
        <w:spacing w:line="360" w:lineRule="auto"/>
        <w:ind w:firstLine="544" w:firstLineChars="200"/>
        <w:rPr>
          <w:rStyle w:val="17"/>
          <w:rFonts w:hint="eastAsia"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7"/>
          <w:rFonts w:ascii="仿宋_GB2312" w:hAnsi="楷体" w:eastAsia="仿宋_GB2312"/>
          <w:b w:val="0"/>
          <w:bCs w:val="0"/>
          <w:color w:val="auto"/>
          <w:spacing w:val="-4"/>
          <w:sz w:val="28"/>
          <w:szCs w:val="28"/>
        </w:rPr>
      </w:pPr>
      <w:r>
        <w:rPr>
          <w:rStyle w:val="17"/>
          <w:rFonts w:hint="eastAsia" w:ascii="仿宋_GB2312" w:hAnsi="楷体" w:eastAsia="仿宋_GB2312"/>
          <w:b w:val="0"/>
          <w:bCs w:val="0"/>
          <w:color w:val="auto"/>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7"/>
          <w:rFonts w:hint="eastAsia" w:ascii="宋体" w:hAnsi="宋体" w:eastAsia="宋体"/>
          <w:color w:val="FF0000"/>
          <w:spacing w:val="-4"/>
          <w:sz w:val="28"/>
          <w:szCs w:val="28"/>
        </w:rPr>
      </w:pPr>
      <w:r>
        <w:rPr>
          <w:rStyle w:val="17"/>
          <w:rFonts w:hint="eastAsia" w:ascii="仿宋_GB2312" w:hAnsi="楷体" w:eastAsia="仿宋_GB2312"/>
          <w:b w:val="0"/>
          <w:bCs w:val="0"/>
          <w:spacing w:val="-4"/>
          <w:sz w:val="28"/>
          <w:szCs w:val="28"/>
        </w:rPr>
        <w:t>截止12月</w:t>
      </w:r>
      <w:r>
        <w:rPr>
          <w:rStyle w:val="17"/>
          <w:rFonts w:hint="eastAsia" w:ascii="仿宋_GB2312" w:hAnsi="楷体" w:eastAsia="仿宋_GB2312"/>
          <w:b w:val="0"/>
          <w:bCs w:val="0"/>
          <w:spacing w:val="-4"/>
          <w:sz w:val="28"/>
          <w:szCs w:val="28"/>
          <w:lang w:val="en-US" w:eastAsia="zh-CN"/>
        </w:rPr>
        <w:t>31</w:t>
      </w:r>
      <w:r>
        <w:rPr>
          <w:rStyle w:val="17"/>
          <w:rFonts w:hint="eastAsia" w:ascii="仿宋_GB2312" w:hAnsi="楷体" w:eastAsia="仿宋_GB2312"/>
          <w:b w:val="0"/>
          <w:bCs w:val="0"/>
          <w:spacing w:val="-4"/>
          <w:sz w:val="28"/>
          <w:szCs w:val="28"/>
        </w:rPr>
        <w:t>日，该专项均按照时间计划保质、保量完成。</w:t>
      </w:r>
    </w:p>
    <w:p>
      <w:pPr>
        <w:pStyle w:val="5"/>
        <w:numPr>
          <w:ilvl w:val="0"/>
          <w:numId w:val="2"/>
        </w:numPr>
        <w:spacing w:line="360" w:lineRule="auto"/>
        <w:rPr>
          <w:rStyle w:val="17"/>
          <w:rFonts w:ascii="仿宋" w:hAnsi="仿宋" w:eastAsia="仿宋"/>
          <w:b/>
          <w:bCs/>
        </w:rPr>
      </w:pPr>
      <w:bookmarkStart w:id="21" w:name="_Toc70450309"/>
      <w:r>
        <w:rPr>
          <w:rStyle w:val="17"/>
          <w:rFonts w:hint="eastAsia" w:ascii="仿宋" w:hAnsi="仿宋" w:eastAsia="仿宋"/>
          <w:b/>
          <w:bCs/>
        </w:rPr>
        <w:t>专项管理情况分析</w:t>
      </w:r>
      <w:bookmarkEnd w:id="21"/>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1、资金到位及使用情况</w:t>
      </w:r>
    </w:p>
    <w:p>
      <w:pPr>
        <w:spacing w:line="360" w:lineRule="auto"/>
        <w:ind w:firstLine="544" w:firstLineChars="200"/>
        <w:rPr>
          <w:rStyle w:val="17"/>
          <w:rFonts w:ascii="仿宋_GB2312" w:hAnsi="宋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w:t>
      </w:r>
      <w:r>
        <w:rPr>
          <w:rStyle w:val="17"/>
          <w:rFonts w:ascii="仿宋_GB2312" w:hAnsi="楷体" w:eastAsia="仿宋_GB2312"/>
          <w:b w:val="0"/>
          <w:spacing w:val="-4"/>
          <w:sz w:val="28"/>
          <w:szCs w:val="28"/>
          <w:highlight w:val="none"/>
        </w:rPr>
        <w:t>021</w:t>
      </w:r>
      <w:r>
        <w:rPr>
          <w:rStyle w:val="17"/>
          <w:rFonts w:hint="eastAsia" w:ascii="仿宋_GB2312" w:hAnsi="楷体" w:eastAsia="仿宋_GB2312"/>
          <w:b w:val="0"/>
          <w:spacing w:val="-4"/>
          <w:sz w:val="28"/>
          <w:szCs w:val="28"/>
          <w:highlight w:val="none"/>
        </w:rPr>
        <w:t>年涉及专项资金</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万元，实际到位</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万元，资金到位率</w:t>
      </w:r>
      <w:r>
        <w:rPr>
          <w:rStyle w:val="17"/>
          <w:rFonts w:hint="eastAsia" w:ascii="仿宋_GB2312" w:hAnsi="楷体" w:eastAsia="仿宋_GB2312"/>
          <w:b w:val="0"/>
          <w:spacing w:val="-4"/>
          <w:sz w:val="28"/>
          <w:szCs w:val="28"/>
          <w:highlight w:val="none"/>
          <w:lang w:val="en-US" w:eastAsia="zh-CN"/>
        </w:rPr>
        <w:t>100.00</w:t>
      </w:r>
      <w:r>
        <w:rPr>
          <w:rStyle w:val="17"/>
          <w:rFonts w:hint="eastAsia" w:ascii="仿宋_GB2312" w:hAnsi="楷体" w:eastAsia="仿宋_GB2312"/>
          <w:b w:val="0"/>
          <w:spacing w:val="-4"/>
          <w:sz w:val="28"/>
          <w:szCs w:val="28"/>
          <w:highlight w:val="none"/>
        </w:rPr>
        <w:t>%。截止到</w:t>
      </w:r>
      <w:r>
        <w:rPr>
          <w:rStyle w:val="17"/>
          <w:rFonts w:ascii="仿宋_GB2312" w:hAnsi="楷体" w:eastAsia="仿宋_GB2312"/>
          <w:b w:val="0"/>
          <w:spacing w:val="-4"/>
          <w:sz w:val="28"/>
          <w:szCs w:val="28"/>
          <w:highlight w:val="none"/>
        </w:rPr>
        <w:t>2021</w:t>
      </w:r>
      <w:r>
        <w:rPr>
          <w:rStyle w:val="17"/>
          <w:rFonts w:hint="eastAsia" w:ascii="仿宋_GB2312" w:hAnsi="楷体" w:eastAsia="仿宋_GB2312"/>
          <w:b w:val="0"/>
          <w:spacing w:val="-4"/>
          <w:sz w:val="28"/>
          <w:szCs w:val="28"/>
          <w:highlight w:val="none"/>
        </w:rPr>
        <w:t>年1</w:t>
      </w:r>
      <w:r>
        <w:rPr>
          <w:rStyle w:val="17"/>
          <w:rFonts w:ascii="仿宋_GB2312" w:hAnsi="楷体" w:eastAsia="仿宋_GB2312"/>
          <w:b w:val="0"/>
          <w:spacing w:val="-4"/>
          <w:sz w:val="28"/>
          <w:szCs w:val="28"/>
          <w:highlight w:val="none"/>
        </w:rPr>
        <w:t>2</w:t>
      </w:r>
      <w:r>
        <w:rPr>
          <w:rStyle w:val="17"/>
          <w:rFonts w:hint="eastAsia" w:ascii="仿宋_GB2312" w:hAnsi="楷体" w:eastAsia="仿宋_GB2312"/>
          <w:b w:val="0"/>
          <w:spacing w:val="-4"/>
          <w:sz w:val="28"/>
          <w:szCs w:val="28"/>
          <w:highlight w:val="none"/>
        </w:rPr>
        <w:t>月</w:t>
      </w:r>
      <w:r>
        <w:rPr>
          <w:rStyle w:val="17"/>
          <w:rFonts w:hint="eastAsia" w:ascii="仿宋_GB2312" w:hAnsi="楷体" w:eastAsia="仿宋_GB2312"/>
          <w:b w:val="0"/>
          <w:spacing w:val="-4"/>
          <w:sz w:val="28"/>
          <w:szCs w:val="28"/>
          <w:highlight w:val="none"/>
          <w:lang w:val="en-US" w:eastAsia="zh-CN"/>
        </w:rPr>
        <w:t>21</w:t>
      </w:r>
      <w:r>
        <w:rPr>
          <w:rStyle w:val="17"/>
          <w:rFonts w:hint="eastAsia" w:ascii="仿宋_GB2312" w:hAnsi="楷体" w:eastAsia="仿宋_GB2312"/>
          <w:b w:val="0"/>
          <w:spacing w:val="-4"/>
          <w:sz w:val="28"/>
          <w:szCs w:val="28"/>
          <w:highlight w:val="none"/>
        </w:rPr>
        <w:t>日执行</w:t>
      </w:r>
      <w:r>
        <w:rPr>
          <w:rStyle w:val="17"/>
          <w:rFonts w:hint="eastAsia" w:ascii="仿宋_GB2312" w:hAnsi="楷体" w:eastAsia="仿宋_GB2312"/>
          <w:b w:val="0"/>
          <w:spacing w:val="-4"/>
          <w:sz w:val="28"/>
          <w:szCs w:val="28"/>
          <w:highlight w:val="none"/>
          <w:lang w:val="en-US" w:eastAsia="zh-CN"/>
        </w:rPr>
        <w:t>53.24</w:t>
      </w:r>
      <w:r>
        <w:rPr>
          <w:rStyle w:val="17"/>
          <w:rFonts w:hint="eastAsia" w:ascii="仿宋_GB2312" w:hAnsi="楷体" w:eastAsia="仿宋_GB2312"/>
          <w:b w:val="0"/>
          <w:spacing w:val="-4"/>
          <w:sz w:val="28"/>
          <w:szCs w:val="28"/>
          <w:highlight w:val="none"/>
        </w:rPr>
        <w:t>万元，执行率</w:t>
      </w:r>
      <w:r>
        <w:rPr>
          <w:rStyle w:val="17"/>
          <w:rFonts w:hint="eastAsia" w:ascii="仿宋_GB2312" w:hAnsi="楷体" w:eastAsia="仿宋_GB2312"/>
          <w:b w:val="0"/>
          <w:spacing w:val="-4"/>
          <w:sz w:val="28"/>
          <w:szCs w:val="28"/>
          <w:highlight w:val="none"/>
          <w:lang w:val="en-US" w:eastAsia="zh-CN"/>
        </w:rPr>
        <w:t>100.00</w:t>
      </w:r>
      <w:r>
        <w:rPr>
          <w:rStyle w:val="17"/>
          <w:rFonts w:hint="eastAsia" w:ascii="仿宋_GB2312" w:hAnsi="楷体" w:eastAsia="仿宋_GB2312"/>
          <w:b w:val="0"/>
          <w:spacing w:val="-4"/>
          <w:sz w:val="28"/>
          <w:szCs w:val="28"/>
          <w:highlight w:val="none"/>
        </w:rPr>
        <w:t>%。其中：20</w:t>
      </w:r>
      <w:r>
        <w:rPr>
          <w:rStyle w:val="17"/>
          <w:rFonts w:ascii="仿宋_GB2312" w:hAnsi="楷体" w:eastAsia="仿宋_GB2312"/>
          <w:b w:val="0"/>
          <w:spacing w:val="-4"/>
          <w:sz w:val="28"/>
          <w:szCs w:val="28"/>
          <w:highlight w:val="none"/>
        </w:rPr>
        <w:t>21</w:t>
      </w:r>
      <w:r>
        <w:rPr>
          <w:rStyle w:val="17"/>
          <w:rFonts w:hint="eastAsia" w:ascii="仿宋_GB2312" w:hAnsi="楷体" w:eastAsia="仿宋_GB2312"/>
          <w:b w:val="0"/>
          <w:spacing w:val="-4"/>
          <w:sz w:val="28"/>
          <w:szCs w:val="28"/>
          <w:highlight w:val="none"/>
        </w:rPr>
        <w:t>年结转专项资金</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万元，实际执行</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万元，执行率为</w:t>
      </w:r>
      <w:r>
        <w:rPr>
          <w:rStyle w:val="17"/>
          <w:rFonts w:hint="eastAsia" w:ascii="仿宋_GB2312" w:hAnsi="楷体" w:eastAsia="仿宋_GB2312"/>
          <w:b w:val="0"/>
          <w:spacing w:val="-4"/>
          <w:sz w:val="28"/>
          <w:szCs w:val="28"/>
          <w:highlight w:val="none"/>
          <w:lang w:val="en-US" w:eastAsia="zh-CN"/>
        </w:rPr>
        <w:t>0</w:t>
      </w:r>
      <w:r>
        <w:rPr>
          <w:rStyle w:val="17"/>
          <w:rFonts w:hint="eastAsia" w:ascii="仿宋_GB2312" w:hAnsi="楷体" w:eastAsia="仿宋_GB2312"/>
          <w:b w:val="0"/>
          <w:spacing w:val="-4"/>
          <w:sz w:val="28"/>
          <w:szCs w:val="28"/>
          <w:highlight w:val="none"/>
        </w:rPr>
        <w:t>%；202</w:t>
      </w:r>
      <w:r>
        <w:rPr>
          <w:rStyle w:val="17"/>
          <w:rFonts w:ascii="仿宋_GB2312" w:hAnsi="楷体" w:eastAsia="仿宋_GB2312"/>
          <w:b w:val="0"/>
          <w:spacing w:val="-4"/>
          <w:sz w:val="28"/>
          <w:szCs w:val="28"/>
          <w:highlight w:val="none"/>
        </w:rPr>
        <w:t>1</w:t>
      </w:r>
      <w:r>
        <w:rPr>
          <w:rStyle w:val="17"/>
          <w:rFonts w:hint="eastAsia" w:ascii="仿宋_GB2312" w:hAnsi="楷体" w:eastAsia="仿宋_GB2312"/>
          <w:b w:val="0"/>
          <w:spacing w:val="-4"/>
          <w:sz w:val="28"/>
          <w:szCs w:val="28"/>
          <w:highlight w:val="none"/>
        </w:rPr>
        <w:t>年新增专项资金</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万元，实际执行</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万元，执行率为</w:t>
      </w:r>
      <w:r>
        <w:rPr>
          <w:rStyle w:val="17"/>
          <w:rFonts w:hint="eastAsia" w:ascii="仿宋_GB2312" w:hAnsi="楷体" w:eastAsia="仿宋_GB2312"/>
          <w:b w:val="0"/>
          <w:spacing w:val="-4"/>
          <w:sz w:val="28"/>
          <w:szCs w:val="28"/>
          <w:highlight w:val="none"/>
          <w:lang w:val="en-US" w:eastAsia="zh-CN"/>
        </w:rPr>
        <w:t>100.00</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2、资金管理情况</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我</w:t>
      </w:r>
      <w:r>
        <w:rPr>
          <w:rStyle w:val="17"/>
          <w:rFonts w:hint="eastAsia" w:ascii="仿宋_GB2312" w:hAnsi="楷体" w:eastAsia="仿宋_GB2312"/>
          <w:b w:val="0"/>
          <w:color w:val="auto"/>
          <w:spacing w:val="-4"/>
          <w:sz w:val="28"/>
          <w:szCs w:val="28"/>
          <w:lang w:val="en-US" w:eastAsia="zh-CN"/>
        </w:rPr>
        <w:t>单位</w:t>
      </w:r>
      <w:r>
        <w:rPr>
          <w:rStyle w:val="17"/>
          <w:rFonts w:hint="eastAsia" w:ascii="仿宋_GB2312" w:hAnsi="楷体" w:eastAsia="仿宋_GB2312"/>
          <w:b w:val="0"/>
          <w:color w:val="auto"/>
          <w:spacing w:val="-4"/>
          <w:sz w:val="28"/>
          <w:szCs w:val="28"/>
        </w:rPr>
        <w:t>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2"/>
        </w:numPr>
        <w:spacing w:line="360" w:lineRule="auto"/>
        <w:rPr>
          <w:rStyle w:val="17"/>
          <w:rFonts w:ascii="仿宋" w:hAnsi="仿宋" w:eastAsia="仿宋"/>
          <w:b/>
          <w:bCs/>
        </w:rPr>
      </w:pPr>
      <w:r>
        <w:rPr>
          <w:rStyle w:val="17"/>
          <w:rFonts w:hint="eastAsia" w:ascii="仿宋" w:hAnsi="仿宋" w:eastAsia="仿宋"/>
          <w:b/>
          <w:bCs/>
        </w:rPr>
        <w:t>项目实施情况分析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w:t>
      </w:r>
      <w:r>
        <w:rPr>
          <w:rStyle w:val="17"/>
          <w:rFonts w:ascii="仿宋_GB2312" w:hAnsi="楷体" w:eastAsia="仿宋_GB2312"/>
          <w:b w:val="0"/>
          <w:spacing w:val="-4"/>
          <w:sz w:val="28"/>
          <w:szCs w:val="28"/>
        </w:rPr>
        <w:t>、组织情况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val="en-US" w:eastAsia="zh-CN"/>
        </w:rPr>
        <w:t>特克斯县融媒体中心</w:t>
      </w:r>
      <w:r>
        <w:rPr>
          <w:rStyle w:val="17"/>
          <w:rFonts w:hint="eastAsia" w:asciiTheme="minorEastAsia" w:hAnsiTheme="minorEastAsia"/>
          <w:bCs w:val="0"/>
          <w:color w:val="auto"/>
          <w:spacing w:val="-4"/>
          <w:sz w:val="28"/>
          <w:szCs w:val="28"/>
        </w:rPr>
        <w:t>，</w:t>
      </w:r>
      <w:r>
        <w:rPr>
          <w:rStyle w:val="17"/>
          <w:rFonts w:hint="eastAsia" w:ascii="仿宋_GB2312" w:hAnsi="楷体" w:eastAsia="仿宋_GB2312"/>
          <w:b w:val="0"/>
          <w:color w:val="auto"/>
          <w:spacing w:val="-4"/>
          <w:sz w:val="28"/>
          <w:szCs w:val="28"/>
        </w:rPr>
        <w:t>根据202</w:t>
      </w:r>
      <w:r>
        <w:rPr>
          <w:rStyle w:val="17"/>
          <w:rFonts w:ascii="仿宋_GB2312" w:hAnsi="楷体" w:eastAsia="仿宋_GB2312"/>
          <w:b w:val="0"/>
          <w:color w:val="auto"/>
          <w:spacing w:val="-4"/>
          <w:sz w:val="28"/>
          <w:szCs w:val="28"/>
        </w:rPr>
        <w:t>1</w:t>
      </w:r>
      <w:r>
        <w:rPr>
          <w:rStyle w:val="17"/>
          <w:rFonts w:hint="eastAsia" w:ascii="仿宋_GB2312" w:hAnsi="楷体" w:eastAsia="仿宋_GB2312"/>
          <w:b w:val="0"/>
          <w:color w:val="auto"/>
          <w:spacing w:val="-4"/>
          <w:sz w:val="28"/>
          <w:szCs w:val="28"/>
        </w:rPr>
        <w:t>年</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个项目的绩效目标及工作内容，将其细化分工至本单位</w:t>
      </w:r>
      <w:r>
        <w:rPr>
          <w:rStyle w:val="17"/>
          <w:rFonts w:hint="eastAsia" w:ascii="仿宋_GB2312" w:hAnsi="楷体" w:eastAsia="仿宋_GB2312"/>
          <w:b w:val="0"/>
          <w:color w:val="auto"/>
          <w:spacing w:val="-4"/>
          <w:sz w:val="28"/>
          <w:szCs w:val="28"/>
          <w:lang w:val="en-US" w:eastAsia="zh-CN"/>
        </w:rPr>
        <w:t>3</w:t>
      </w:r>
      <w:r>
        <w:rPr>
          <w:rStyle w:val="17"/>
          <w:rFonts w:hint="eastAsia" w:ascii="仿宋_GB2312" w:hAnsi="楷体" w:eastAsia="仿宋_GB2312"/>
          <w:b w:val="0"/>
          <w:color w:val="auto"/>
          <w:spacing w:val="-4"/>
          <w:sz w:val="28"/>
          <w:szCs w:val="28"/>
        </w:rPr>
        <w:t>个科室负责人，加强组织领导，明确分工，各司其职，抓好工作目标任务的落实完成，同时年中要求各科室负责人按照年初预算对本科室绩效工作进行自查自评，并报上半年工作情况总结，</w:t>
      </w:r>
      <w:r>
        <w:rPr>
          <w:rStyle w:val="17"/>
          <w:rFonts w:ascii="仿宋_GB2312" w:hAnsi="楷体" w:eastAsia="仿宋_GB2312"/>
          <w:b w:val="0"/>
          <w:color w:val="auto"/>
          <w:spacing w:val="-4"/>
          <w:sz w:val="28"/>
          <w:szCs w:val="28"/>
        </w:rPr>
        <w:t>5</w:t>
      </w:r>
      <w:r>
        <w:rPr>
          <w:rStyle w:val="17"/>
          <w:rFonts w:hint="eastAsia" w:ascii="仿宋_GB2312" w:hAnsi="楷体" w:eastAsia="仿宋_GB2312"/>
          <w:b w:val="0"/>
          <w:color w:val="auto"/>
          <w:spacing w:val="-4"/>
          <w:sz w:val="28"/>
          <w:szCs w:val="28"/>
        </w:rPr>
        <w:t>月和8月对工作情况进行跟踪检查，确保绩效目标如期实现，不断提高财政资金配置和使用效益。</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w:t>
      </w:r>
      <w:r>
        <w:rPr>
          <w:rStyle w:val="17"/>
          <w:rFonts w:ascii="仿宋_GB2312" w:hAnsi="楷体" w:eastAsia="仿宋_GB2312"/>
          <w:b w:val="0"/>
          <w:spacing w:val="-4"/>
          <w:sz w:val="28"/>
          <w:szCs w:val="28"/>
        </w:rPr>
        <w:t>、管理情况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val="en-US" w:eastAsia="zh-CN"/>
        </w:rPr>
        <w:t>特克斯县融媒体中心</w:t>
      </w:r>
      <w:r>
        <w:rPr>
          <w:rStyle w:val="17"/>
          <w:rFonts w:hint="eastAsia" w:ascii="仿宋_GB2312" w:hAnsi="楷体" w:eastAsia="仿宋_GB2312"/>
          <w:b w:val="0"/>
          <w:color w:val="auto"/>
          <w:spacing w:val="-4"/>
          <w:sz w:val="28"/>
          <w:szCs w:val="28"/>
        </w:rPr>
        <w:t>，实施的</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个项目，由相关业务科室指派专人进行全过程跟踪管理，科室负责人统筹推进项目实施，单位领导不定期对项目进度进行调度，并对项目质量进行控制。</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w:t>
      </w:r>
      <w:r>
        <w:rPr>
          <w:rStyle w:val="17"/>
          <w:rFonts w:ascii="仿宋_GB2312" w:hAnsi="楷体" w:eastAsia="仿宋_GB2312"/>
          <w:b w:val="0"/>
          <w:spacing w:val="-4"/>
          <w:sz w:val="28"/>
          <w:szCs w:val="28"/>
        </w:rPr>
        <w:t>、监管情况</w:t>
      </w:r>
    </w:p>
    <w:p>
      <w:pPr>
        <w:spacing w:line="360" w:lineRule="auto"/>
        <w:ind w:firstLine="544" w:firstLineChars="200"/>
        <w:rPr>
          <w:rStyle w:val="17"/>
          <w:rFonts w:hint="eastAsia"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val="en-US" w:eastAsia="zh-CN"/>
        </w:rPr>
        <w:t>特克斯县融媒体中心党组</w:t>
      </w:r>
      <w:r>
        <w:rPr>
          <w:rStyle w:val="17"/>
          <w:rFonts w:hint="eastAsia" w:ascii="仿宋_GB2312" w:hAnsi="楷体" w:eastAsia="仿宋_GB2312"/>
          <w:b w:val="0"/>
          <w:color w:val="auto"/>
          <w:spacing w:val="-4"/>
          <w:sz w:val="28"/>
          <w:szCs w:val="28"/>
        </w:rPr>
        <w:t>从项目实施方案、项目预算、项目建设进度、项目成本、项目验收等环节，全过程对项目进行监管</w:t>
      </w:r>
      <w:r>
        <w:rPr>
          <w:rStyle w:val="17"/>
          <w:rFonts w:hint="eastAsia" w:ascii="仿宋_GB2312" w:hAnsi="楷体" w:eastAsia="仿宋_GB2312"/>
          <w:b w:val="0"/>
          <w:color w:val="auto"/>
          <w:spacing w:val="-4"/>
          <w:sz w:val="28"/>
          <w:szCs w:val="28"/>
          <w:lang w:eastAsia="zh-CN"/>
        </w:rPr>
        <w:t>，</w:t>
      </w:r>
      <w:r>
        <w:rPr>
          <w:rStyle w:val="17"/>
          <w:rFonts w:hint="eastAsia" w:ascii="仿宋_GB2312" w:hAnsi="楷体" w:eastAsia="仿宋_GB2312"/>
          <w:b w:val="0"/>
          <w:color w:val="auto"/>
          <w:spacing w:val="-4"/>
          <w:sz w:val="28"/>
          <w:szCs w:val="28"/>
        </w:rPr>
        <w:t>推进项目建设和提高项目质量，发挥资金使用效益。</w:t>
      </w:r>
    </w:p>
    <w:p>
      <w:pPr>
        <w:pStyle w:val="5"/>
        <w:numPr>
          <w:ilvl w:val="0"/>
          <w:numId w:val="2"/>
        </w:numPr>
        <w:spacing w:line="360" w:lineRule="auto"/>
        <w:rPr>
          <w:rStyle w:val="17"/>
          <w:rFonts w:ascii="仿宋" w:hAnsi="仿宋" w:eastAsia="仿宋"/>
          <w:b/>
          <w:bCs/>
        </w:rPr>
      </w:pPr>
      <w:r>
        <w:rPr>
          <w:rStyle w:val="17"/>
          <w:rFonts w:hint="eastAsia" w:ascii="仿宋" w:hAnsi="仿宋" w:eastAsia="仿宋"/>
          <w:b/>
          <w:bCs/>
        </w:rPr>
        <w:t>绩效情况分析</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1</w:t>
      </w:r>
      <w:r>
        <w:rPr>
          <w:rStyle w:val="17"/>
          <w:rFonts w:ascii="仿宋_GB2312" w:hAnsi="楷体" w:eastAsia="仿宋_GB2312"/>
          <w:b w:val="0"/>
          <w:bCs w:val="0"/>
          <w:spacing w:val="-4"/>
          <w:sz w:val="28"/>
          <w:szCs w:val="28"/>
        </w:rPr>
        <w:t>、成本控制情况</w:t>
      </w:r>
    </w:p>
    <w:p>
      <w:pPr>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color w:val="auto"/>
          <w:spacing w:val="-4"/>
          <w:sz w:val="28"/>
          <w:szCs w:val="28"/>
          <w:lang w:val="en-US" w:eastAsia="zh-CN"/>
        </w:rPr>
        <w:t>特克斯县融媒体中心</w:t>
      </w:r>
      <w:r>
        <w:rPr>
          <w:rStyle w:val="17"/>
          <w:rFonts w:hint="eastAsia" w:ascii="仿宋_GB2312" w:hAnsi="楷体" w:eastAsia="仿宋_GB2312"/>
          <w:b w:val="0"/>
          <w:spacing w:val="-4"/>
          <w:sz w:val="28"/>
          <w:szCs w:val="28"/>
        </w:rPr>
        <w:t>，所涉及专项项目均已于专项资金下达后按照资金文件及绩效管理要求设置《项目绩效目标表》</w:t>
      </w:r>
      <w:r>
        <w:rPr>
          <w:rStyle w:val="17"/>
          <w:rFonts w:hint="eastAsia" w:ascii="仿宋_GB2312" w:hAnsi="楷体" w:eastAsia="仿宋_GB2312"/>
          <w:b w:val="0"/>
          <w:spacing w:val="-4"/>
          <w:sz w:val="28"/>
          <w:szCs w:val="28"/>
          <w:highlight w:val="none"/>
        </w:rPr>
        <w:t>。</w:t>
      </w: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个专项项目预算总额为</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万元，在项目实施过程中，业务人员加强项目管理，合理控制项目成本，截止项目结束，</w:t>
      </w: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个项目总成本为</w:t>
      </w:r>
      <w:r>
        <w:rPr>
          <w:rStyle w:val="17"/>
          <w:rFonts w:hint="eastAsia" w:ascii="仿宋_GB2312" w:hAnsi="楷体" w:eastAsia="仿宋_GB2312"/>
          <w:b w:val="0"/>
          <w:spacing w:val="-4"/>
          <w:sz w:val="28"/>
          <w:szCs w:val="28"/>
          <w:highlight w:val="none"/>
          <w:lang w:val="en-US" w:eastAsia="zh-CN"/>
        </w:rPr>
        <w:t>36</w:t>
      </w:r>
      <w:r>
        <w:rPr>
          <w:rStyle w:val="17"/>
          <w:rFonts w:hint="eastAsia" w:ascii="仿宋_GB2312" w:hAnsi="楷体" w:eastAsia="仿宋_GB2312"/>
          <w:b w:val="0"/>
          <w:spacing w:val="-4"/>
          <w:sz w:val="28"/>
          <w:szCs w:val="28"/>
          <w:highlight w:val="none"/>
        </w:rPr>
        <w:t>万元，不存在超支情况。</w:t>
      </w:r>
    </w:p>
    <w:p>
      <w:pPr>
        <w:spacing w:line="360" w:lineRule="auto"/>
        <w:ind w:firstLine="544" w:firstLineChars="200"/>
        <w:rPr>
          <w:rStyle w:val="17"/>
          <w:rFonts w:ascii="仿宋_GB2312" w:hAnsi="楷体" w:eastAsia="仿宋_GB2312"/>
          <w:b w:val="0"/>
          <w:bCs w:val="0"/>
          <w:spacing w:val="-4"/>
          <w:sz w:val="28"/>
          <w:szCs w:val="28"/>
        </w:rPr>
      </w:pPr>
      <w:r>
        <w:rPr>
          <w:rStyle w:val="17"/>
          <w:rFonts w:hint="eastAsia" w:ascii="仿宋_GB2312" w:hAnsi="楷体" w:eastAsia="仿宋_GB2312"/>
          <w:b w:val="0"/>
          <w:bCs w:val="0"/>
          <w:spacing w:val="-4"/>
          <w:sz w:val="28"/>
          <w:szCs w:val="28"/>
        </w:rPr>
        <w:t>2</w:t>
      </w:r>
      <w:r>
        <w:rPr>
          <w:rStyle w:val="17"/>
          <w:rFonts w:ascii="仿宋_GB2312" w:hAnsi="楷体" w:eastAsia="仿宋_GB2312"/>
          <w:b w:val="0"/>
          <w:bCs w:val="0"/>
          <w:spacing w:val="-4"/>
          <w:sz w:val="28"/>
          <w:szCs w:val="28"/>
        </w:rPr>
        <w:t>、成本节约情况</w:t>
      </w:r>
    </w:p>
    <w:p>
      <w:pPr>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color w:val="auto"/>
          <w:spacing w:val="-4"/>
          <w:sz w:val="28"/>
          <w:szCs w:val="28"/>
          <w:lang w:val="en-US" w:eastAsia="zh-CN"/>
        </w:rPr>
        <w:t>特克斯县融媒体中心</w:t>
      </w:r>
      <w:r>
        <w:rPr>
          <w:rStyle w:val="17"/>
          <w:rFonts w:hint="eastAsia" w:ascii="仿宋_GB2312" w:hAnsi="楷体" w:eastAsia="仿宋_GB2312"/>
          <w:b w:val="0"/>
          <w:spacing w:val="-4"/>
          <w:sz w:val="28"/>
          <w:szCs w:val="28"/>
        </w:rPr>
        <w:t>，所涉及专项项目使用资金比专项项目总预算减少</w:t>
      </w:r>
      <w:r>
        <w:rPr>
          <w:rStyle w:val="17"/>
          <w:rFonts w:hint="eastAsia" w:ascii="仿宋_GB2312" w:hAnsi="楷体" w:eastAsia="仿宋_GB2312"/>
          <w:b w:val="0"/>
          <w:spacing w:val="-4"/>
          <w:sz w:val="28"/>
          <w:szCs w:val="28"/>
          <w:lang w:val="en-US" w:eastAsia="zh-CN"/>
        </w:rPr>
        <w:t>0</w:t>
      </w:r>
      <w:r>
        <w:rPr>
          <w:rStyle w:val="17"/>
          <w:rFonts w:hint="eastAsia" w:ascii="仿宋_GB2312" w:hAnsi="楷体" w:eastAsia="仿宋_GB2312"/>
          <w:b w:val="0"/>
          <w:spacing w:val="-4"/>
          <w:sz w:val="28"/>
          <w:szCs w:val="28"/>
        </w:rPr>
        <w:t>万元，</w:t>
      </w:r>
      <w:bookmarkStart w:id="22" w:name="_Hlk96097132"/>
      <w:r>
        <w:rPr>
          <w:rStyle w:val="17"/>
          <w:rFonts w:hint="eastAsia" w:ascii="仿宋_GB2312" w:hAnsi="楷体" w:eastAsia="仿宋_GB2312"/>
          <w:b w:val="0"/>
          <w:spacing w:val="-4"/>
          <w:sz w:val="28"/>
          <w:szCs w:val="28"/>
        </w:rPr>
        <w:t>项目节约率</w:t>
      </w:r>
      <w:bookmarkEnd w:id="22"/>
      <w:r>
        <w:rPr>
          <w:rStyle w:val="17"/>
          <w:rFonts w:hint="eastAsia" w:ascii="仿宋_GB2312" w:hAnsi="楷体" w:eastAsia="仿宋_GB2312"/>
          <w:b w:val="0"/>
          <w:spacing w:val="-4"/>
          <w:sz w:val="28"/>
          <w:szCs w:val="28"/>
        </w:rPr>
        <w:t>为</w:t>
      </w:r>
      <w:r>
        <w:rPr>
          <w:rStyle w:val="17"/>
          <w:rFonts w:hint="eastAsia" w:ascii="仿宋_GB2312" w:hAnsi="楷体" w:eastAsia="仿宋_GB2312"/>
          <w:b w:val="0"/>
          <w:spacing w:val="-4"/>
          <w:sz w:val="28"/>
          <w:szCs w:val="28"/>
          <w:lang w:val="en-US" w:eastAsia="zh-CN"/>
        </w:rPr>
        <w:t>0.00</w:t>
      </w:r>
      <w:r>
        <w:rPr>
          <w:rStyle w:val="17"/>
          <w:rFonts w:hint="eastAsia" w:ascii="仿宋_GB2312" w:hAnsi="楷体" w:eastAsia="仿宋_GB2312"/>
          <w:b w:val="0"/>
          <w:spacing w:val="-4"/>
          <w:sz w:val="28"/>
          <w:szCs w:val="28"/>
        </w:rPr>
        <w:t>%。</w:t>
      </w:r>
    </w:p>
    <w:p>
      <w:pPr>
        <w:pStyle w:val="5"/>
        <w:numPr>
          <w:ilvl w:val="0"/>
          <w:numId w:val="2"/>
        </w:numPr>
        <w:spacing w:line="360" w:lineRule="auto"/>
        <w:rPr>
          <w:rStyle w:val="17"/>
          <w:rFonts w:hint="eastAsia" w:ascii="仿宋" w:hAnsi="仿宋" w:eastAsia="仿宋"/>
          <w:b/>
          <w:bCs/>
        </w:rPr>
      </w:pPr>
      <w:r>
        <w:rPr>
          <w:rStyle w:val="17"/>
          <w:rFonts w:hint="eastAsia" w:ascii="仿宋" w:hAnsi="仿宋" w:eastAsia="仿宋"/>
          <w:b/>
          <w:bCs/>
        </w:rPr>
        <w:t>项目效率性分析</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1、实施进度</w:t>
      </w:r>
    </w:p>
    <w:p>
      <w:pPr>
        <w:spacing w:line="360" w:lineRule="auto"/>
        <w:ind w:firstLine="544" w:firstLineChars="200"/>
        <w:rPr>
          <w:rStyle w:val="17"/>
          <w:rFonts w:hint="eastAsia"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2021年</w:t>
      </w:r>
      <w:r>
        <w:rPr>
          <w:rStyle w:val="17"/>
          <w:rFonts w:hint="eastAsia" w:ascii="仿宋_GB2312" w:hAnsi="楷体" w:eastAsia="仿宋_GB2312"/>
          <w:b w:val="0"/>
          <w:color w:val="auto"/>
          <w:spacing w:val="-4"/>
          <w:sz w:val="28"/>
          <w:szCs w:val="28"/>
          <w:highlight w:val="none"/>
          <w:lang w:val="en-US" w:eastAsia="zh-CN"/>
        </w:rPr>
        <w:t>特克斯县融媒体中心</w:t>
      </w:r>
      <w:r>
        <w:rPr>
          <w:rStyle w:val="17"/>
          <w:rFonts w:hint="eastAsia" w:ascii="仿宋_GB2312" w:hAnsi="楷体" w:eastAsia="仿宋_GB2312"/>
          <w:b w:val="0"/>
          <w:spacing w:val="-4"/>
          <w:sz w:val="28"/>
          <w:szCs w:val="28"/>
          <w:highlight w:val="none"/>
        </w:rPr>
        <w:t>共涉及专项项目</w:t>
      </w: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个，截止到202</w:t>
      </w:r>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年底，通过专项项目实施过程中的有效监督，我单位按预期完成了</w:t>
      </w:r>
      <w:r>
        <w:rPr>
          <w:rStyle w:val="17"/>
          <w:rFonts w:hint="eastAsia" w:ascii="仿宋_GB2312" w:hAnsi="楷体" w:eastAsia="仿宋_GB2312"/>
          <w:b w:val="0"/>
          <w:spacing w:val="-4"/>
          <w:sz w:val="28"/>
          <w:szCs w:val="28"/>
          <w:highlight w:val="none"/>
          <w:lang w:val="en-US" w:eastAsia="zh-CN"/>
        </w:rPr>
        <w:t>1个</w:t>
      </w:r>
      <w:r>
        <w:rPr>
          <w:rStyle w:val="17"/>
          <w:rFonts w:hint="eastAsia" w:ascii="仿宋_GB2312" w:hAnsi="楷体" w:eastAsia="仿宋_GB2312"/>
          <w:b w:val="0"/>
          <w:spacing w:val="-4"/>
          <w:sz w:val="28"/>
          <w:szCs w:val="28"/>
          <w:highlight w:val="none"/>
        </w:rPr>
        <w:t>专项的各项专项任务，项目总体完成率为</w:t>
      </w:r>
      <w:r>
        <w:rPr>
          <w:rStyle w:val="17"/>
          <w:rFonts w:hint="eastAsia" w:ascii="仿宋_GB2312" w:hAnsi="楷体" w:eastAsia="仿宋_GB2312"/>
          <w:b w:val="0"/>
          <w:spacing w:val="-4"/>
          <w:sz w:val="28"/>
          <w:szCs w:val="28"/>
          <w:highlight w:val="none"/>
          <w:lang w:val="en-US" w:eastAsia="zh-CN"/>
        </w:rPr>
        <w:t>100.00</w:t>
      </w:r>
      <w:r>
        <w:rPr>
          <w:rStyle w:val="17"/>
          <w:rFonts w:hint="eastAsia" w:ascii="仿宋_GB2312" w:hAnsi="楷体" w:eastAsia="仿宋_GB2312"/>
          <w:b w:val="0"/>
          <w:spacing w:val="-4"/>
          <w:sz w:val="28"/>
          <w:szCs w:val="28"/>
          <w:highlight w:val="none"/>
        </w:rPr>
        <w:t>%。</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2、完成质量</w:t>
      </w:r>
    </w:p>
    <w:p>
      <w:pPr>
        <w:spacing w:line="360" w:lineRule="auto"/>
        <w:ind w:firstLine="544" w:firstLineChars="200"/>
        <w:rPr>
          <w:rStyle w:val="17"/>
          <w:rFonts w:hint="eastAsia" w:ascii="仿宋_GB2312" w:hAnsi="楷体" w:eastAsia="仿宋_GB2312"/>
          <w:b w:val="0"/>
          <w:spacing w:val="-4"/>
          <w:sz w:val="28"/>
          <w:szCs w:val="28"/>
          <w:highlight w:val="none"/>
        </w:rPr>
      </w:pPr>
      <w:bookmarkStart w:id="23" w:name="_Hlk96100380"/>
      <w:r>
        <w:rPr>
          <w:rStyle w:val="17"/>
          <w:rFonts w:hint="eastAsia" w:ascii="仿宋_GB2312" w:hAnsi="楷体" w:eastAsia="仿宋_GB2312"/>
          <w:b w:val="0"/>
          <w:spacing w:val="-4"/>
          <w:sz w:val="28"/>
          <w:szCs w:val="28"/>
          <w:highlight w:val="none"/>
          <w:lang w:val="en-US" w:eastAsia="zh-CN"/>
        </w:rPr>
        <w:t>1</w:t>
      </w:r>
      <w:r>
        <w:rPr>
          <w:rStyle w:val="17"/>
          <w:rFonts w:hint="eastAsia" w:ascii="仿宋_GB2312" w:hAnsi="楷体" w:eastAsia="仿宋_GB2312"/>
          <w:b w:val="0"/>
          <w:spacing w:val="-4"/>
          <w:sz w:val="28"/>
          <w:szCs w:val="28"/>
          <w:highlight w:val="none"/>
        </w:rPr>
        <w:t>个专项项目完成质量情况如下：</w:t>
      </w:r>
      <w:bookmarkEnd w:id="23"/>
    </w:p>
    <w:p>
      <w:pPr>
        <w:spacing w:line="360" w:lineRule="auto"/>
        <w:ind w:firstLine="544" w:firstLineChars="200"/>
        <w:rPr>
          <w:rStyle w:val="17"/>
          <w:rFonts w:hint="eastAsia" w:ascii="仿宋_GB2312" w:hAnsi="楷体" w:eastAsia="仿宋_GB2312"/>
          <w:b w:val="0"/>
          <w:color w:val="FF0000"/>
          <w:spacing w:val="-4"/>
          <w:sz w:val="28"/>
          <w:szCs w:val="28"/>
          <w:highlight w:val="none"/>
          <w:lang w:eastAsia="zh-CN"/>
        </w:rPr>
      </w:pPr>
      <w:r>
        <w:rPr>
          <w:rStyle w:val="17"/>
          <w:rFonts w:hint="eastAsia" w:ascii="仿宋_GB2312" w:hAnsi="楷体" w:eastAsia="仿宋_GB2312"/>
          <w:b w:val="0"/>
          <w:spacing w:val="-4"/>
          <w:sz w:val="28"/>
          <w:szCs w:val="28"/>
          <w:highlight w:val="none"/>
        </w:rPr>
        <w:t>2021年自治区广播电视节目无线覆盖运行维护费完成自治区广播电视无线覆盖工程</w:t>
      </w:r>
      <w:r>
        <w:rPr>
          <w:rStyle w:val="17"/>
          <w:rFonts w:hint="eastAsia" w:ascii="仿宋_GB2312" w:hAnsi="楷体" w:eastAsia="仿宋_GB2312"/>
          <w:b w:val="0"/>
          <w:spacing w:val="-4"/>
          <w:sz w:val="28"/>
          <w:szCs w:val="28"/>
          <w:highlight w:val="none"/>
          <w:lang w:val="en-US" w:eastAsia="zh-CN"/>
        </w:rPr>
        <w:t>完成36万元</w:t>
      </w:r>
      <w:r>
        <w:rPr>
          <w:rStyle w:val="17"/>
          <w:rFonts w:hint="eastAsia" w:ascii="仿宋_GB2312" w:hAnsi="楷体" w:eastAsia="仿宋_GB2312"/>
          <w:b w:val="0"/>
          <w:spacing w:val="-4"/>
          <w:sz w:val="28"/>
          <w:szCs w:val="28"/>
          <w:highlight w:val="none"/>
        </w:rPr>
        <w:t>，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r>
        <w:rPr>
          <w:rStyle w:val="17"/>
          <w:rFonts w:hint="eastAsia" w:ascii="仿宋_GB2312" w:hAnsi="楷体" w:eastAsia="仿宋_GB2312"/>
          <w:b w:val="0"/>
          <w:spacing w:val="-4"/>
          <w:sz w:val="28"/>
          <w:szCs w:val="28"/>
          <w:highlight w:val="none"/>
          <w:lang w:eastAsia="zh-CN"/>
        </w:rPr>
        <w:t>。</w:t>
      </w:r>
    </w:p>
    <w:p>
      <w:pPr>
        <w:pStyle w:val="5"/>
        <w:numPr>
          <w:ilvl w:val="0"/>
          <w:numId w:val="2"/>
        </w:numPr>
        <w:spacing w:line="360" w:lineRule="auto"/>
        <w:rPr>
          <w:rStyle w:val="17"/>
          <w:rFonts w:ascii="仿宋" w:hAnsi="仿宋" w:eastAsia="仿宋"/>
          <w:b/>
          <w:bCs/>
          <w:highlight w:val="none"/>
        </w:rPr>
      </w:pPr>
      <w:r>
        <w:rPr>
          <w:rStyle w:val="17"/>
          <w:rFonts w:hint="eastAsia" w:ascii="仿宋" w:hAnsi="仿宋" w:eastAsia="仿宋"/>
          <w:b/>
          <w:bCs/>
          <w:highlight w:val="none"/>
        </w:rPr>
        <w:t>项目效益性分析</w:t>
      </w:r>
    </w:p>
    <w:p>
      <w:pPr>
        <w:ind w:firstLine="544" w:firstLineChars="200"/>
        <w:rPr>
          <w:rStyle w:val="17"/>
          <w:rFonts w:ascii="仿宋_GB2312" w:hAnsi="楷体" w:eastAsia="仿宋_GB2312"/>
          <w:b w:val="0"/>
          <w:bCs w:val="0"/>
          <w:spacing w:val="-4"/>
          <w:sz w:val="28"/>
          <w:szCs w:val="28"/>
          <w:highlight w:val="none"/>
        </w:rPr>
      </w:pPr>
      <w:r>
        <w:rPr>
          <w:rStyle w:val="17"/>
          <w:rFonts w:hint="eastAsia" w:ascii="仿宋_GB2312" w:hAnsi="楷体" w:eastAsia="仿宋_GB2312"/>
          <w:b w:val="0"/>
          <w:bCs w:val="0"/>
          <w:spacing w:val="-4"/>
          <w:sz w:val="28"/>
          <w:szCs w:val="28"/>
          <w:highlight w:val="none"/>
          <w:lang w:val="en-US" w:eastAsia="zh-CN"/>
        </w:rPr>
        <w:t>1</w:t>
      </w:r>
      <w:r>
        <w:rPr>
          <w:rStyle w:val="17"/>
          <w:rFonts w:hint="eastAsia" w:ascii="仿宋_GB2312" w:hAnsi="楷体" w:eastAsia="仿宋_GB2312"/>
          <w:b w:val="0"/>
          <w:bCs w:val="0"/>
          <w:spacing w:val="-4"/>
          <w:sz w:val="28"/>
          <w:szCs w:val="28"/>
          <w:highlight w:val="none"/>
        </w:rPr>
        <w:t>个专项项目预期目标完成程度、实施对经济和社会的影响如下：</w:t>
      </w:r>
    </w:p>
    <w:p>
      <w:pPr>
        <w:spacing w:line="360" w:lineRule="auto"/>
        <w:ind w:firstLine="544" w:firstLineChars="200"/>
        <w:rPr>
          <w:rStyle w:val="17"/>
          <w:rFonts w:hint="eastAsia" w:ascii="仿宋_GB2312" w:hAnsi="楷体" w:eastAsia="仿宋_GB2312"/>
          <w:b w:val="0"/>
          <w:color w:val="FF0000"/>
          <w:spacing w:val="-4"/>
          <w:sz w:val="28"/>
          <w:szCs w:val="28"/>
          <w:highlight w:val="none"/>
          <w:lang w:eastAsia="zh-CN"/>
        </w:rPr>
      </w:pPr>
      <w:r>
        <w:rPr>
          <w:rStyle w:val="17"/>
          <w:rFonts w:hint="eastAsia" w:ascii="仿宋_GB2312" w:hAnsi="楷体" w:eastAsia="仿宋_GB2312"/>
          <w:b w:val="0"/>
          <w:spacing w:val="-4"/>
          <w:sz w:val="28"/>
          <w:szCs w:val="28"/>
          <w:highlight w:val="none"/>
        </w:rPr>
        <w:t>2021年自治区广播电视节目无线覆盖运行维护费完成自治区广播电视无线覆盖工程</w:t>
      </w:r>
      <w:r>
        <w:rPr>
          <w:rStyle w:val="17"/>
          <w:rFonts w:hint="eastAsia" w:ascii="仿宋_GB2312" w:hAnsi="楷体" w:eastAsia="仿宋_GB2312"/>
          <w:b w:val="0"/>
          <w:spacing w:val="-4"/>
          <w:sz w:val="28"/>
          <w:szCs w:val="28"/>
          <w:highlight w:val="none"/>
          <w:lang w:val="en-US" w:eastAsia="zh-CN"/>
        </w:rPr>
        <w:t>完成36万元</w:t>
      </w:r>
      <w:r>
        <w:rPr>
          <w:rStyle w:val="17"/>
          <w:rFonts w:hint="eastAsia" w:ascii="仿宋_GB2312" w:hAnsi="楷体" w:eastAsia="仿宋_GB2312"/>
          <w:b w:val="0"/>
          <w:spacing w:val="-4"/>
          <w:sz w:val="28"/>
          <w:szCs w:val="28"/>
          <w:highlight w:val="none"/>
        </w:rPr>
        <w:t>，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r>
        <w:rPr>
          <w:rStyle w:val="17"/>
          <w:rFonts w:hint="eastAsia" w:ascii="仿宋_GB2312" w:hAnsi="楷体" w:eastAsia="仿宋_GB2312"/>
          <w:b w:val="0"/>
          <w:spacing w:val="-4"/>
          <w:sz w:val="28"/>
          <w:szCs w:val="28"/>
          <w:highlight w:val="none"/>
          <w:lang w:eastAsia="zh-CN"/>
        </w:rPr>
        <w:t>。</w:t>
      </w:r>
    </w:p>
    <w:p>
      <w:pPr>
        <w:pStyle w:val="3"/>
        <w:spacing w:line="360" w:lineRule="auto"/>
        <w:rPr>
          <w:rFonts w:ascii="仿宋" w:hAnsi="仿宋" w:eastAsia="仿宋"/>
          <w:sz w:val="36"/>
          <w:szCs w:val="36"/>
          <w:lang w:bidi="ar"/>
        </w:rPr>
      </w:pPr>
      <w:bookmarkStart w:id="24" w:name="_Toc70450310"/>
      <w:r>
        <w:rPr>
          <w:rFonts w:hint="eastAsia" w:ascii="仿宋" w:hAnsi="仿宋" w:eastAsia="仿宋"/>
          <w:sz w:val="36"/>
          <w:szCs w:val="36"/>
          <w:lang w:bidi="ar"/>
        </w:rPr>
        <w:t>四、资产管理情况</w:t>
      </w:r>
      <w:bookmarkEnd w:id="24"/>
    </w:p>
    <w:p>
      <w:pPr>
        <w:pStyle w:val="4"/>
        <w:spacing w:line="360" w:lineRule="auto"/>
        <w:rPr>
          <w:rStyle w:val="17"/>
          <w:rFonts w:ascii="仿宋" w:hAnsi="仿宋" w:eastAsia="仿宋"/>
          <w:b/>
          <w:bCs/>
        </w:rPr>
      </w:pPr>
      <w:bookmarkStart w:id="25" w:name="_Toc70450311"/>
      <w:r>
        <w:rPr>
          <w:rStyle w:val="17"/>
          <w:rFonts w:hint="eastAsia" w:ascii="仿宋" w:hAnsi="仿宋" w:eastAsia="仿宋"/>
          <w:b/>
          <w:bCs/>
        </w:rPr>
        <w:t>（一）资产配置情况</w:t>
      </w:r>
      <w:bookmarkEnd w:id="25"/>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年我</w:t>
      </w:r>
      <w:r>
        <w:rPr>
          <w:rStyle w:val="17"/>
          <w:rFonts w:hint="eastAsia" w:ascii="仿宋_GB2312" w:hAnsi="楷体" w:eastAsia="仿宋_GB2312"/>
          <w:b w:val="0"/>
          <w:spacing w:val="-4"/>
          <w:sz w:val="28"/>
          <w:szCs w:val="28"/>
          <w:lang w:val="en-US" w:eastAsia="zh-CN"/>
        </w:rPr>
        <w:t>单位</w:t>
      </w:r>
      <w:r>
        <w:rPr>
          <w:rStyle w:val="17"/>
          <w:rFonts w:hint="eastAsia" w:ascii="仿宋_GB2312" w:hAnsi="宋体" w:eastAsia="仿宋_GB2312"/>
          <w:b w:val="0"/>
          <w:bCs w:val="0"/>
          <w:spacing w:val="-4"/>
          <w:sz w:val="28"/>
          <w:szCs w:val="28"/>
        </w:rPr>
        <w:t>资产总额11283712.4万元，其中流动资产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万元，固定资产净值5026866.62万元（其中：土地、房屋及构筑物</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万元，占固定资产净值的</w:t>
      </w:r>
      <w:r>
        <w:rPr>
          <w:rStyle w:val="17"/>
          <w:rFonts w:hint="eastAsia" w:ascii="仿宋_GB2312" w:hAnsi="宋体" w:eastAsia="仿宋_GB2312"/>
          <w:b w:val="0"/>
          <w:bCs w:val="0"/>
          <w:spacing w:val="-4"/>
          <w:sz w:val="28"/>
          <w:szCs w:val="28"/>
          <w:lang w:val="en-US" w:eastAsia="zh-CN"/>
        </w:rPr>
        <w:t>0.00</w:t>
      </w:r>
      <w:r>
        <w:rPr>
          <w:rStyle w:val="17"/>
          <w:rFonts w:hint="eastAsia" w:ascii="仿宋_GB2312" w:hAnsi="宋体" w:eastAsia="仿宋_GB2312"/>
          <w:b w:val="0"/>
          <w:bCs w:val="0"/>
          <w:spacing w:val="-4"/>
          <w:sz w:val="28"/>
          <w:szCs w:val="28"/>
        </w:rPr>
        <w:t>%；通用设备4987981.52万元，占固定资产净值的</w:t>
      </w:r>
      <w:r>
        <w:rPr>
          <w:rStyle w:val="17"/>
          <w:rFonts w:hint="eastAsia" w:ascii="仿宋_GB2312" w:hAnsi="宋体" w:eastAsia="仿宋_GB2312"/>
          <w:b w:val="0"/>
          <w:bCs w:val="0"/>
          <w:spacing w:val="-4"/>
          <w:sz w:val="28"/>
          <w:szCs w:val="28"/>
          <w:lang w:val="en-US" w:eastAsia="zh-CN"/>
        </w:rPr>
        <w:t>99.23</w:t>
      </w:r>
      <w:r>
        <w:rPr>
          <w:rStyle w:val="17"/>
          <w:rFonts w:hint="eastAsia" w:ascii="仿宋_GB2312" w:hAnsi="宋体" w:eastAsia="仿宋_GB2312"/>
          <w:b w:val="0"/>
          <w:bCs w:val="0"/>
          <w:spacing w:val="-4"/>
          <w:sz w:val="28"/>
          <w:szCs w:val="28"/>
        </w:rPr>
        <w:t>%；专用设备18537.55万元，占固定资产净值的</w:t>
      </w:r>
      <w:r>
        <w:rPr>
          <w:rStyle w:val="17"/>
          <w:rFonts w:hint="eastAsia" w:ascii="仿宋_GB2312" w:hAnsi="宋体" w:eastAsia="仿宋_GB2312"/>
          <w:b w:val="0"/>
          <w:bCs w:val="0"/>
          <w:spacing w:val="-4"/>
          <w:sz w:val="28"/>
          <w:szCs w:val="28"/>
          <w:lang w:val="en-US" w:eastAsia="zh-CN"/>
        </w:rPr>
        <w:t>0.77</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本年度流动资产</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万元，比上年增加（减少）</w:t>
      </w:r>
      <w:r>
        <w:rPr>
          <w:rStyle w:val="17"/>
          <w:rFonts w:hint="eastAsia" w:ascii="仿宋_GB2312" w:hAnsi="宋体" w:eastAsia="仿宋_GB2312"/>
          <w:b w:val="0"/>
          <w:bCs w:val="0"/>
          <w:spacing w:val="-4"/>
          <w:sz w:val="28"/>
          <w:szCs w:val="28"/>
          <w:lang w:val="en-US" w:eastAsia="zh-CN"/>
        </w:rPr>
        <w:t>0</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val="en-US" w:eastAsia="zh-CN"/>
        </w:rPr>
        <w:t>无流动资产</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本年度固定资产11283712.4万元，比上年增加</w:t>
      </w:r>
      <w:r>
        <w:rPr>
          <w:rStyle w:val="17"/>
          <w:rFonts w:hint="eastAsia" w:ascii="仿宋_GB2312" w:hAnsi="宋体" w:eastAsia="仿宋_GB2312"/>
          <w:b w:val="0"/>
          <w:bCs w:val="0"/>
          <w:spacing w:val="-4"/>
          <w:sz w:val="28"/>
          <w:szCs w:val="28"/>
          <w:lang w:val="en-US" w:eastAsia="zh-CN"/>
        </w:rPr>
        <w:t>3417156</w:t>
      </w:r>
      <w:r>
        <w:rPr>
          <w:rStyle w:val="17"/>
          <w:rFonts w:hint="eastAsia" w:ascii="仿宋_GB2312" w:hAnsi="宋体" w:eastAsia="仿宋_GB2312"/>
          <w:b w:val="0"/>
          <w:bCs w:val="0"/>
          <w:spacing w:val="-4"/>
          <w:sz w:val="28"/>
          <w:szCs w:val="28"/>
        </w:rPr>
        <w:t>万元，原因是：</w:t>
      </w:r>
      <w:r>
        <w:rPr>
          <w:rStyle w:val="17"/>
          <w:rFonts w:hint="eastAsia" w:ascii="仿宋_GB2312" w:hAnsi="宋体" w:eastAsia="仿宋_GB2312"/>
          <w:b w:val="0"/>
          <w:bCs w:val="0"/>
          <w:spacing w:val="-4"/>
          <w:sz w:val="28"/>
          <w:szCs w:val="28"/>
          <w:lang w:val="en-US" w:eastAsia="zh-CN"/>
        </w:rPr>
        <w:t>本年度实施</w:t>
      </w:r>
      <w:r>
        <w:rPr>
          <w:rStyle w:val="17"/>
          <w:rFonts w:hint="eastAsia" w:ascii="仿宋_GB2312" w:hAnsi="楷体" w:eastAsia="仿宋_GB2312"/>
          <w:b w:val="0"/>
          <w:bCs w:val="0"/>
          <w:color w:val="auto"/>
          <w:spacing w:val="-4"/>
          <w:sz w:val="28"/>
          <w:szCs w:val="28"/>
          <w:lang w:eastAsia="zh-CN"/>
        </w:rPr>
        <w:t>特克斯县融媒体中心广电平台暨“旅游+媒体”融合应用项目，</w:t>
      </w:r>
      <w:r>
        <w:rPr>
          <w:rStyle w:val="17"/>
          <w:rFonts w:hint="eastAsia" w:ascii="仿宋_GB2312" w:hAnsi="楷体" w:eastAsia="仿宋_GB2312"/>
          <w:b w:val="0"/>
          <w:bCs w:val="0"/>
          <w:color w:val="auto"/>
          <w:spacing w:val="-4"/>
          <w:sz w:val="28"/>
          <w:szCs w:val="28"/>
          <w:lang w:val="en-US" w:eastAsia="zh-CN"/>
        </w:rPr>
        <w:t>新增采购设备</w:t>
      </w:r>
      <w:r>
        <w:rPr>
          <w:rStyle w:val="17"/>
          <w:rFonts w:hint="eastAsia" w:ascii="仿宋_GB2312" w:hAnsi="宋体" w:eastAsia="仿宋_GB2312"/>
          <w:b w:val="0"/>
          <w:bCs w:val="0"/>
          <w:spacing w:val="-4"/>
          <w:sz w:val="28"/>
          <w:szCs w:val="28"/>
        </w:rPr>
        <w:t>。</w:t>
      </w:r>
    </w:p>
    <w:p>
      <w:pPr>
        <w:snapToGrid w:val="0"/>
        <w:spacing w:line="360" w:lineRule="auto"/>
        <w:ind w:firstLine="544" w:firstLineChars="200"/>
        <w:rPr>
          <w:rStyle w:val="17"/>
          <w:rFonts w:ascii="宋体" w:hAnsi="宋体" w:eastAsia="宋体"/>
          <w:bCs w:val="0"/>
          <w:color w:val="FF0000"/>
          <w:spacing w:val="-4"/>
          <w:sz w:val="28"/>
          <w:szCs w:val="28"/>
        </w:rPr>
      </w:pPr>
      <w:r>
        <w:rPr>
          <w:rStyle w:val="17"/>
          <w:rFonts w:hint="eastAsia" w:ascii="仿宋_GB2312" w:hAnsi="宋体" w:eastAsia="仿宋_GB2312"/>
          <w:b w:val="0"/>
          <w:bCs w:val="0"/>
          <w:spacing w:val="-4"/>
          <w:sz w:val="28"/>
          <w:szCs w:val="28"/>
        </w:rPr>
        <w:t>实际在用固定资产11283712.4万元，固定资产利用率</w:t>
      </w:r>
      <w:r>
        <w:rPr>
          <w:rStyle w:val="17"/>
          <w:rFonts w:hint="eastAsia" w:ascii="仿宋_GB2312" w:hAnsi="宋体" w:eastAsia="仿宋_GB2312"/>
          <w:b w:val="0"/>
          <w:bCs w:val="0"/>
          <w:spacing w:val="-4"/>
          <w:sz w:val="28"/>
          <w:szCs w:val="28"/>
          <w:lang w:val="en-US" w:eastAsia="zh-CN"/>
        </w:rPr>
        <w:t>100.00</w:t>
      </w:r>
      <w:r>
        <w:rPr>
          <w:rStyle w:val="17"/>
          <w:rFonts w:hint="eastAsia" w:ascii="仿宋_GB2312" w:hAnsi="宋体" w:eastAsia="仿宋_GB2312"/>
          <w:b w:val="0"/>
          <w:bCs w:val="0"/>
          <w:spacing w:val="-4"/>
          <w:sz w:val="28"/>
          <w:szCs w:val="28"/>
        </w:rPr>
        <w:t>%。</w:t>
      </w:r>
    </w:p>
    <w:p>
      <w:pPr>
        <w:pStyle w:val="4"/>
        <w:spacing w:line="360" w:lineRule="auto"/>
        <w:rPr>
          <w:rStyle w:val="17"/>
          <w:rFonts w:ascii="仿宋" w:hAnsi="仿宋" w:eastAsia="仿宋"/>
          <w:b/>
          <w:bCs/>
        </w:rPr>
      </w:pPr>
      <w:bookmarkStart w:id="26" w:name="_Toc70450312"/>
      <w:r>
        <w:rPr>
          <w:rStyle w:val="17"/>
          <w:rFonts w:hint="eastAsia" w:ascii="仿宋" w:hAnsi="仿宋" w:eastAsia="仿宋"/>
          <w:b/>
          <w:bCs/>
        </w:rPr>
        <w:t>（二）资产管理情况</w:t>
      </w:r>
      <w:bookmarkEnd w:id="26"/>
    </w:p>
    <w:p>
      <w:pPr>
        <w:spacing w:line="360" w:lineRule="auto"/>
        <w:ind w:firstLine="544" w:firstLineChars="200"/>
        <w:rPr>
          <w:rStyle w:val="17"/>
          <w:rFonts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hint="eastAsia" w:ascii="仿宋_GB2312" w:hAnsi="宋体" w:eastAsia="仿宋_GB2312"/>
          <w:b w:val="0"/>
          <w:color w:val="auto"/>
          <w:spacing w:val="-4"/>
          <w:sz w:val="28"/>
          <w:szCs w:val="28"/>
        </w:rPr>
      </w:pPr>
      <w:r>
        <w:rPr>
          <w:rStyle w:val="17"/>
          <w:rFonts w:hint="eastAsia" w:ascii="仿宋_GB2312" w:hAnsi="宋体" w:eastAsia="仿宋_GB2312"/>
          <w:b w:val="0"/>
          <w:color w:val="auto"/>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7" w:name="_Toc70450313"/>
      <w:r>
        <w:rPr>
          <w:rFonts w:hint="eastAsia" w:ascii="仿宋" w:hAnsi="仿宋" w:eastAsia="仿宋"/>
          <w:sz w:val="36"/>
          <w:szCs w:val="36"/>
          <w:lang w:bidi="ar"/>
        </w:rPr>
        <w:t>五、部门单位整体支出绩效情况</w:t>
      </w:r>
      <w:bookmarkEnd w:id="27"/>
    </w:p>
    <w:p>
      <w:pPr>
        <w:pStyle w:val="4"/>
        <w:spacing w:line="360" w:lineRule="auto"/>
        <w:ind w:firstLine="643" w:firstLineChars="200"/>
        <w:rPr>
          <w:rStyle w:val="17"/>
          <w:rFonts w:ascii="仿宋" w:hAnsi="仿宋" w:eastAsia="仿宋"/>
          <w:b/>
          <w:bCs/>
        </w:rPr>
      </w:pPr>
      <w:bookmarkStart w:id="28" w:name="_Toc70450314"/>
      <w:r>
        <w:rPr>
          <w:rStyle w:val="17"/>
          <w:rFonts w:hint="eastAsia" w:ascii="仿宋" w:hAnsi="仿宋" w:eastAsia="仿宋"/>
          <w:b/>
          <w:bCs/>
        </w:rPr>
        <w:t>（一）经济效益评价</w:t>
      </w:r>
      <w:bookmarkEnd w:id="28"/>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年度我单位年初预算安排</w:t>
      </w:r>
      <w:r>
        <w:rPr>
          <w:rStyle w:val="17"/>
          <w:rFonts w:hint="eastAsia" w:ascii="仿宋_GB2312" w:hAnsi="宋体" w:eastAsia="仿宋_GB2312"/>
          <w:b w:val="0"/>
          <w:bCs w:val="0"/>
          <w:spacing w:val="-4"/>
          <w:sz w:val="28"/>
          <w:szCs w:val="28"/>
          <w:lang w:val="en-US" w:eastAsia="zh-CN"/>
        </w:rPr>
        <w:t>491.39</w:t>
      </w:r>
      <w:r>
        <w:rPr>
          <w:rStyle w:val="17"/>
          <w:rFonts w:hint="eastAsia" w:ascii="仿宋_GB2312" w:hAnsi="宋体" w:eastAsia="仿宋_GB2312"/>
          <w:b w:val="0"/>
          <w:bCs w:val="0"/>
          <w:spacing w:val="-4"/>
          <w:sz w:val="28"/>
          <w:szCs w:val="28"/>
        </w:rPr>
        <w:t>万元</w:t>
      </w:r>
      <w:r>
        <w:rPr>
          <w:rStyle w:val="17"/>
          <w:rFonts w:hint="eastAsia" w:ascii="仿宋_GB2312" w:hAnsi="宋体" w:eastAsia="仿宋_GB2312"/>
          <w:b w:val="0"/>
          <w:bCs w:val="0"/>
          <w:spacing w:val="-4"/>
          <w:sz w:val="28"/>
          <w:szCs w:val="28"/>
          <w:highlight w:val="none"/>
        </w:rPr>
        <w:t>，年中调整</w:t>
      </w:r>
      <w:r>
        <w:rPr>
          <w:rStyle w:val="17"/>
          <w:rFonts w:hint="eastAsia" w:ascii="仿宋_GB2312" w:hAnsi="宋体" w:eastAsia="仿宋_GB2312"/>
          <w:b w:val="0"/>
          <w:bCs w:val="0"/>
          <w:spacing w:val="-4"/>
          <w:sz w:val="28"/>
          <w:szCs w:val="28"/>
          <w:highlight w:val="none"/>
          <w:lang w:val="en-US" w:eastAsia="zh-CN"/>
        </w:rPr>
        <w:t>969.66</w:t>
      </w:r>
      <w:r>
        <w:rPr>
          <w:rStyle w:val="17"/>
          <w:rFonts w:hint="eastAsia" w:ascii="仿宋_GB2312" w:hAnsi="宋体" w:eastAsia="仿宋_GB2312"/>
          <w:b w:val="0"/>
          <w:bCs w:val="0"/>
          <w:spacing w:val="-4"/>
          <w:sz w:val="28"/>
          <w:szCs w:val="28"/>
          <w:highlight w:val="none"/>
        </w:rPr>
        <w:t>万元，截止12月底支出</w:t>
      </w:r>
      <w:r>
        <w:rPr>
          <w:rStyle w:val="17"/>
          <w:rFonts w:hint="eastAsia" w:ascii="仿宋_GB2312" w:hAnsi="楷体" w:eastAsia="仿宋_GB2312"/>
          <w:b w:val="0"/>
          <w:spacing w:val="-4"/>
          <w:sz w:val="28"/>
          <w:szCs w:val="28"/>
          <w:highlight w:val="none"/>
          <w:lang w:val="en-US" w:eastAsia="zh-CN"/>
        </w:rPr>
        <w:t>1461</w:t>
      </w:r>
      <w:bookmarkStart w:id="37" w:name="_GoBack"/>
      <w:bookmarkEnd w:id="37"/>
      <w:r>
        <w:rPr>
          <w:rStyle w:val="17"/>
          <w:rFonts w:hint="eastAsia" w:ascii="仿宋_GB2312" w:hAnsi="楷体" w:eastAsia="仿宋_GB2312"/>
          <w:b w:val="0"/>
          <w:spacing w:val="-4"/>
          <w:sz w:val="28"/>
          <w:szCs w:val="28"/>
          <w:highlight w:val="none"/>
          <w:lang w:val="en-US" w:eastAsia="zh-CN"/>
        </w:rPr>
        <w:t>.05</w:t>
      </w:r>
      <w:r>
        <w:rPr>
          <w:rStyle w:val="17"/>
          <w:rFonts w:hint="eastAsia" w:ascii="仿宋_GB2312" w:hAnsi="宋体" w:eastAsia="仿宋_GB2312"/>
          <w:b w:val="0"/>
          <w:bCs w:val="0"/>
          <w:spacing w:val="-4"/>
          <w:sz w:val="28"/>
          <w:szCs w:val="28"/>
          <w:highlight w:val="none"/>
        </w:rPr>
        <w:t>万元，执行率</w:t>
      </w:r>
      <w:r>
        <w:rPr>
          <w:rStyle w:val="17"/>
          <w:rFonts w:hint="eastAsia" w:ascii="仿宋_GB2312" w:hAnsi="宋体" w:eastAsia="仿宋_GB2312"/>
          <w:b w:val="0"/>
          <w:bCs w:val="0"/>
          <w:spacing w:val="-4"/>
          <w:sz w:val="28"/>
          <w:szCs w:val="28"/>
          <w:highlight w:val="none"/>
          <w:lang w:val="en-US" w:eastAsia="zh-CN"/>
        </w:rPr>
        <w:t>100</w:t>
      </w:r>
      <w:r>
        <w:rPr>
          <w:rStyle w:val="17"/>
          <w:rFonts w:hint="eastAsia" w:ascii="仿宋_GB2312" w:hAnsi="宋体" w:eastAsia="仿宋_GB2312"/>
          <w:b w:val="0"/>
          <w:bCs w:val="0"/>
          <w:spacing w:val="-4"/>
          <w:sz w:val="28"/>
          <w:szCs w:val="28"/>
          <w:lang w:val="en-US" w:eastAsia="zh-CN"/>
        </w:rPr>
        <w:t>.00</w:t>
      </w:r>
      <w:r>
        <w:rPr>
          <w:rStyle w:val="17"/>
          <w:rFonts w:hint="eastAsia" w:ascii="仿宋_GB2312" w:hAnsi="宋体" w:eastAsia="仿宋_GB2312"/>
          <w:b w:val="0"/>
          <w:bCs w:val="0"/>
          <w:spacing w:val="-4"/>
          <w:sz w:val="28"/>
          <w:szCs w:val="28"/>
        </w:rPr>
        <w:t>%。</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1</w:t>
      </w:r>
      <w:r>
        <w:rPr>
          <w:rStyle w:val="17"/>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7"/>
          <w:rFonts w:ascii="仿宋_GB2312" w:hAnsi="宋体" w:eastAsia="仿宋_GB2312"/>
          <w:b w:val="0"/>
          <w:bCs w:val="0"/>
          <w:spacing w:val="-4"/>
          <w:sz w:val="28"/>
          <w:szCs w:val="28"/>
        </w:rPr>
      </w:pPr>
      <w:r>
        <w:rPr>
          <w:rStyle w:val="17"/>
          <w:rFonts w:ascii="仿宋_GB2312" w:hAnsi="宋体" w:eastAsia="仿宋_GB2312"/>
          <w:b w:val="0"/>
          <w:bCs w:val="0"/>
          <w:spacing w:val="-4"/>
          <w:sz w:val="28"/>
          <w:szCs w:val="28"/>
        </w:rPr>
        <w:t>2</w:t>
      </w:r>
      <w:r>
        <w:rPr>
          <w:rStyle w:val="17"/>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7"/>
          <w:rFonts w:ascii="仿宋" w:hAnsi="仿宋" w:eastAsia="仿宋"/>
          <w:b/>
          <w:bCs/>
        </w:rPr>
      </w:pPr>
      <w:bookmarkStart w:id="29" w:name="_Toc70450315"/>
      <w:r>
        <w:rPr>
          <w:rStyle w:val="17"/>
          <w:rFonts w:hint="eastAsia" w:ascii="仿宋" w:hAnsi="仿宋" w:eastAsia="仿宋"/>
          <w:b/>
          <w:bCs/>
        </w:rPr>
        <w:t>（二）效率性评价</w:t>
      </w:r>
      <w:bookmarkEnd w:id="29"/>
    </w:p>
    <w:p>
      <w:pPr>
        <w:spacing w:line="360" w:lineRule="auto"/>
        <w:ind w:firstLine="544" w:firstLineChars="200"/>
        <w:rPr>
          <w:rStyle w:val="17"/>
          <w:rFonts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202</w:t>
      </w:r>
      <w:r>
        <w:rPr>
          <w:rStyle w:val="17"/>
          <w:rFonts w:hint="eastAsia" w:ascii="仿宋_GB2312" w:hAnsi="宋体" w:eastAsia="仿宋_GB2312"/>
          <w:b w:val="0"/>
          <w:bCs w:val="0"/>
          <w:spacing w:val="-4"/>
          <w:sz w:val="28"/>
          <w:szCs w:val="28"/>
          <w:lang w:val="en-US" w:eastAsia="zh-CN"/>
        </w:rPr>
        <w:t>1</w:t>
      </w:r>
      <w:r>
        <w:rPr>
          <w:rStyle w:val="17"/>
          <w:rFonts w:hint="eastAsia" w:ascii="仿宋_GB2312" w:hAnsi="宋体" w:eastAsia="仿宋_GB2312"/>
          <w:b w:val="0"/>
          <w:bCs w:val="0"/>
          <w:spacing w:val="-4"/>
          <w:sz w:val="28"/>
          <w:szCs w:val="28"/>
        </w:rPr>
        <w:t>年，在</w:t>
      </w:r>
      <w:r>
        <w:rPr>
          <w:rStyle w:val="17"/>
          <w:rFonts w:hint="eastAsia" w:ascii="仿宋_GB2312" w:hAnsi="宋体" w:eastAsia="仿宋_GB2312"/>
          <w:b w:val="0"/>
          <w:bCs w:val="0"/>
          <w:spacing w:val="-4"/>
          <w:sz w:val="28"/>
          <w:szCs w:val="28"/>
          <w:lang w:val="en-US" w:eastAsia="zh-CN"/>
        </w:rPr>
        <w:t>特克斯县政府、县委</w:t>
      </w:r>
      <w:r>
        <w:rPr>
          <w:rStyle w:val="17"/>
          <w:rFonts w:hint="eastAsia" w:ascii="仿宋_GB2312" w:hAnsi="宋体" w:eastAsia="仿宋_GB2312"/>
          <w:b w:val="0"/>
          <w:bCs w:val="0"/>
          <w:spacing w:val="-4"/>
          <w:sz w:val="28"/>
          <w:szCs w:val="28"/>
        </w:rPr>
        <w:t>的大力支持和</w:t>
      </w:r>
      <w:r>
        <w:rPr>
          <w:rStyle w:val="17"/>
          <w:rFonts w:hint="eastAsia" w:ascii="仿宋_GB2312" w:hAnsi="宋体" w:eastAsia="仿宋_GB2312"/>
          <w:b w:val="0"/>
          <w:bCs w:val="0"/>
          <w:spacing w:val="-4"/>
          <w:sz w:val="28"/>
          <w:szCs w:val="28"/>
          <w:lang w:val="en-US" w:eastAsia="zh-CN"/>
        </w:rPr>
        <w:t>特克斯县宣传部</w:t>
      </w:r>
      <w:r>
        <w:rPr>
          <w:rStyle w:val="17"/>
          <w:rFonts w:hint="eastAsia" w:ascii="仿宋_GB2312" w:hAnsi="宋体" w:eastAsia="仿宋_GB2312"/>
          <w:b w:val="0"/>
          <w:bCs w:val="0"/>
          <w:spacing w:val="-4"/>
          <w:sz w:val="28"/>
          <w:szCs w:val="28"/>
        </w:rPr>
        <w:t>的正确领导下，我</w:t>
      </w:r>
      <w:r>
        <w:rPr>
          <w:rStyle w:val="17"/>
          <w:rFonts w:hint="eastAsia" w:ascii="仿宋_GB2312" w:hAnsi="楷体" w:eastAsia="仿宋_GB2312"/>
          <w:b w:val="0"/>
          <w:spacing w:val="-4"/>
          <w:sz w:val="28"/>
          <w:szCs w:val="28"/>
          <w:lang w:val="en-US" w:eastAsia="zh-CN"/>
        </w:rPr>
        <w:t>单位</w:t>
      </w:r>
      <w:r>
        <w:rPr>
          <w:rStyle w:val="17"/>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pPr>
        <w:spacing w:line="360" w:lineRule="auto"/>
        <w:ind w:firstLine="544" w:firstLineChars="200"/>
        <w:rPr>
          <w:rStyle w:val="17"/>
          <w:rFonts w:hint="default" w:ascii="仿宋_GB2312" w:hAnsi="宋体" w:eastAsia="仿宋_GB2312" w:cs="Times New Roman"/>
          <w:b w:val="0"/>
          <w:bCs w:val="0"/>
          <w:spacing w:val="-4"/>
          <w:sz w:val="28"/>
          <w:szCs w:val="28"/>
          <w:lang w:val="en-US" w:eastAsia="zh-CN"/>
        </w:rPr>
      </w:pPr>
      <w:bookmarkStart w:id="30" w:name="_Toc70450316"/>
      <w:r>
        <w:rPr>
          <w:rStyle w:val="17"/>
          <w:rFonts w:hint="eastAsia" w:ascii="仿宋_GB2312" w:hAnsi="宋体" w:eastAsia="仿宋_GB2312" w:cs="Times New Roman"/>
          <w:b w:val="0"/>
          <w:bCs w:val="0"/>
          <w:spacing w:val="-4"/>
          <w:sz w:val="28"/>
          <w:szCs w:val="28"/>
          <w:lang w:val="en-US" w:eastAsia="zh-CN"/>
        </w:rPr>
        <w:t>1、强化政治建设，党建、意识形态、党风廉政等工作责任制。</w:t>
      </w:r>
      <w:r>
        <w:rPr>
          <w:rStyle w:val="17"/>
          <w:rFonts w:hint="eastAsia" w:ascii="仿宋_GB2312" w:hAnsi="宋体" w:eastAsia="仿宋_GB2312" w:cs="Times New Roman"/>
          <w:b w:val="0"/>
          <w:bCs w:val="0"/>
          <w:spacing w:val="-4"/>
          <w:sz w:val="28"/>
          <w:szCs w:val="28"/>
        </w:rPr>
        <w:t>全年中心组学习35次，深入“访惠聚”后盾单位调研3次，党组成员撰写讨论发言稿31篇。全年召开党员大会</w:t>
      </w:r>
      <w:r>
        <w:rPr>
          <w:rStyle w:val="17"/>
          <w:rFonts w:hint="eastAsia" w:ascii="仿宋_GB2312" w:hAnsi="宋体" w:eastAsia="仿宋_GB2312" w:cs="Times New Roman"/>
          <w:b w:val="0"/>
          <w:bCs w:val="0"/>
          <w:spacing w:val="-4"/>
          <w:sz w:val="28"/>
          <w:szCs w:val="28"/>
          <w:lang w:val="en-US" w:eastAsia="zh-CN"/>
        </w:rPr>
        <w:t>12</w:t>
      </w:r>
      <w:r>
        <w:rPr>
          <w:rStyle w:val="17"/>
          <w:rFonts w:hint="eastAsia" w:ascii="仿宋_GB2312" w:hAnsi="宋体" w:eastAsia="仿宋_GB2312" w:cs="Times New Roman"/>
          <w:b w:val="0"/>
          <w:bCs w:val="0"/>
          <w:spacing w:val="-4"/>
          <w:sz w:val="28"/>
          <w:szCs w:val="28"/>
        </w:rPr>
        <w:t>次，主题党日活动13次，党员集中学习13场次。开展党课6次，党史学习教育专题组织生活会1次，党史学习教育专题民主生活会1次，中心组党史学习教育专题学习3次，充分每日晨会开展党史学习、业务知识学习，利用每日晨会党史学习全覆盖，通过小组诵读和自学的方式，学习</w:t>
      </w:r>
      <w:r>
        <w:rPr>
          <w:rStyle w:val="17"/>
          <w:rFonts w:hint="eastAsia" w:ascii="仿宋_GB2312" w:hAnsi="宋体" w:eastAsia="仿宋_GB2312" w:cs="Times New Roman"/>
          <w:b w:val="0"/>
          <w:bCs w:val="0"/>
          <w:spacing w:val="-4"/>
          <w:sz w:val="28"/>
          <w:szCs w:val="28"/>
          <w:lang w:val="en-US" w:eastAsia="zh-CN"/>
        </w:rPr>
        <w:t>200</w:t>
      </w:r>
      <w:r>
        <w:rPr>
          <w:rStyle w:val="17"/>
          <w:rFonts w:hint="eastAsia" w:ascii="仿宋_GB2312" w:hAnsi="宋体" w:eastAsia="仿宋_GB2312" w:cs="Times New Roman"/>
          <w:b w:val="0"/>
          <w:bCs w:val="0"/>
          <w:spacing w:val="-4"/>
          <w:sz w:val="28"/>
          <w:szCs w:val="28"/>
        </w:rPr>
        <w:t>多场次。参加上级视频网络培训20余场次，学习习近平新时代中国特色社会主义思想不间断50余场次，党组民主决策、政治生态清朗，领导班子和干部的凝聚力、战斗力进一步增强。</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2、强化人才队伍保障，实现全媒体人才融合发展。2021年3月-8月，新增自治区事业编4名，引进专业人才2名，进一步强化融媒体中心采编队伍。优化人才队伍结构，把熟悉新媒体的中青年优秀人才调整到关键岗位，充分释放人才活力，打造了新媒体记者、编辑、制作、网络技术管理和维护等一专多能或多专多能人才。</w:t>
      </w:r>
    </w:p>
    <w:p>
      <w:pPr>
        <w:spacing w:line="360" w:lineRule="auto"/>
        <w:ind w:firstLine="544" w:firstLineChars="200"/>
        <w:rPr>
          <w:rStyle w:val="17"/>
          <w:rFonts w:hint="eastAsia" w:ascii="仿宋_GB2312" w:hAnsi="宋体" w:eastAsia="仿宋_GB2312" w:cs="Times New Roman"/>
          <w:b w:val="0"/>
          <w:bCs w:val="0"/>
          <w:spacing w:val="-4"/>
          <w:sz w:val="28"/>
          <w:szCs w:val="28"/>
          <w:lang w:eastAsia="zh-CN"/>
        </w:rPr>
      </w:pPr>
      <w:r>
        <w:rPr>
          <w:rStyle w:val="17"/>
          <w:rFonts w:hint="eastAsia" w:ascii="仿宋_GB2312" w:hAnsi="宋体" w:eastAsia="仿宋_GB2312" w:cs="Times New Roman"/>
          <w:b w:val="0"/>
          <w:bCs w:val="0"/>
          <w:spacing w:val="-4"/>
          <w:sz w:val="28"/>
          <w:szCs w:val="28"/>
          <w:lang w:val="en-US" w:eastAsia="zh-CN"/>
        </w:rPr>
        <w:t>3、强化公正考核保障，激发人才四力新动能。一是建立有效的管理机制，形成高效、公正的考核体系。通过提高一线记者优秀率等方式不断激发一线人员工作的积极性。二是启动以薪酬改革为抓手的激励约束机制，先后制定了《特克斯县融媒体中心薪酬制度改革与激励办法》《特克斯县融媒体中心量化考核细则（试行）》。实现奖优罚劣，激发干部队伍干事创业的积极性、主动性、创造性。三是县编考核末尾淘汰机制。对工作绩效不明显、懒散软人员采取降低岗位至自聘人员队伍，特别优秀的县编人员通过考核方式进入正式编制的方式激发干部工作动能。</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4、强化“旅游+媒体”融合应用，提升融媒发展新高度。</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融媒体中心深入贯彻+文旅战略，依托援疆项目，启动特克斯县融媒体中心广电平台暨“旅游+媒体”融合应用项目，打造融媒体信息资讯与旅游信息资讯的有机结合，实现产业融合。八卦城集体公司成立特融媒体信息文化科技有限责任公司孙公司，由融媒体中心媒体融合产业进行运营尝试，截至目前与江宁融媒体中心初步构建媒体游环线。</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5、强化资金保障，切实做好安全播出工作。</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rPr>
        <w:t>安全播出是广播电视的“防火墙”</w:t>
      </w:r>
      <w:r>
        <w:rPr>
          <w:rStyle w:val="17"/>
          <w:rFonts w:hint="eastAsia" w:ascii="仿宋_GB2312" w:hAnsi="宋体" w:eastAsia="仿宋_GB2312" w:cs="Times New Roman"/>
          <w:b w:val="0"/>
          <w:bCs w:val="0"/>
          <w:spacing w:val="-4"/>
          <w:sz w:val="28"/>
          <w:szCs w:val="28"/>
          <w:lang w:eastAsia="zh-CN"/>
        </w:rPr>
        <w:t>，</w:t>
      </w:r>
      <w:r>
        <w:rPr>
          <w:rStyle w:val="17"/>
          <w:rFonts w:hint="eastAsia" w:ascii="仿宋_GB2312" w:hAnsi="宋体" w:eastAsia="仿宋_GB2312" w:cs="Times New Roman"/>
          <w:b w:val="0"/>
          <w:bCs w:val="0"/>
          <w:spacing w:val="-4"/>
          <w:sz w:val="28"/>
          <w:szCs w:val="28"/>
          <w:lang w:val="en-US" w:eastAsia="zh-CN"/>
        </w:rPr>
        <w:t>特克斯县融媒体中心</w:t>
      </w:r>
      <w:r>
        <w:rPr>
          <w:rStyle w:val="17"/>
          <w:rFonts w:hint="eastAsia" w:ascii="仿宋_GB2312" w:hAnsi="宋体" w:eastAsia="仿宋_GB2312" w:cs="Times New Roman"/>
          <w:b w:val="0"/>
          <w:bCs w:val="0"/>
          <w:spacing w:val="-4"/>
          <w:sz w:val="28"/>
          <w:szCs w:val="28"/>
        </w:rPr>
        <w:t>始终把安全播出当作关系政治安全、社会稳定的大事紧抓不放，</w:t>
      </w:r>
      <w:r>
        <w:rPr>
          <w:rStyle w:val="17"/>
          <w:rFonts w:hint="eastAsia" w:ascii="仿宋_GB2312" w:hAnsi="宋体" w:eastAsia="仿宋_GB2312" w:cs="Times New Roman"/>
          <w:b w:val="0"/>
          <w:bCs w:val="0"/>
          <w:spacing w:val="-4"/>
          <w:sz w:val="28"/>
          <w:szCs w:val="28"/>
          <w:lang w:val="en-US" w:eastAsia="zh-CN"/>
        </w:rPr>
        <w:t>加大对广播电视播出、发射台站安全播出的资金投入力度，投入37万元对高山无线发射台站的发射铁塔接地、发射机高频接地、塔下地面硬化等系统进行改造，投入35万完成播出机房和发射机房整合，人员培训实现常态化，确保</w:t>
      </w:r>
      <w:r>
        <w:rPr>
          <w:rStyle w:val="17"/>
          <w:rFonts w:hint="eastAsia" w:ascii="仿宋_GB2312" w:hAnsi="宋体" w:eastAsia="仿宋_GB2312" w:cs="Times New Roman"/>
          <w:b w:val="0"/>
          <w:bCs w:val="0"/>
          <w:spacing w:val="-4"/>
          <w:sz w:val="28"/>
          <w:szCs w:val="28"/>
        </w:rPr>
        <w:t>安全播出</w:t>
      </w:r>
      <w:r>
        <w:rPr>
          <w:rStyle w:val="17"/>
          <w:rFonts w:hint="eastAsia" w:ascii="仿宋_GB2312" w:hAnsi="宋体" w:eastAsia="仿宋_GB2312" w:cs="Times New Roman"/>
          <w:b w:val="0"/>
          <w:bCs w:val="0"/>
          <w:spacing w:val="-4"/>
          <w:sz w:val="28"/>
          <w:szCs w:val="28"/>
          <w:lang w:val="en-US" w:eastAsia="zh-CN"/>
        </w:rPr>
        <w:t>零事故发生。</w:t>
      </w:r>
    </w:p>
    <w:p>
      <w:pPr>
        <w:pStyle w:val="4"/>
        <w:spacing w:line="360" w:lineRule="auto"/>
        <w:ind w:firstLine="643" w:firstLineChars="200"/>
        <w:rPr>
          <w:rStyle w:val="17"/>
          <w:rFonts w:ascii="仿宋" w:hAnsi="仿宋" w:eastAsia="仿宋"/>
          <w:b/>
          <w:bCs/>
        </w:rPr>
      </w:pPr>
      <w:r>
        <w:rPr>
          <w:rStyle w:val="17"/>
          <w:rFonts w:hint="eastAsia" w:ascii="仿宋" w:hAnsi="仿宋" w:eastAsia="仿宋"/>
          <w:b/>
          <w:bCs/>
        </w:rPr>
        <w:t>（三）有效性评价</w:t>
      </w:r>
      <w:bookmarkEnd w:id="30"/>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一是专栏宣传有温度。广播电视新闻开设曝光《小丁说事》专栏，针对疫情防控主体责任落实不到位的小区、商铺进行暗访，并在广播 、电视中发布，起到新闻舆论监督作用；广播通过邀请全县各单位、各乡镇场主要领导诵读党史，讲党史故事传承红色精神；《童心向党》讲红色故事专栏，让各年龄段的孩子讲述红色故事，厚植爱国热情；《民生访谈》栏目发布最新政策、分享工作思路、回应群众关切问题；《砥砺奋进5年间》专题栏目，通过交通、旅游、医疗、公共基础设施、住房等方面，讲述特克斯县五年来翻天覆地的变化，切实提高老百姓的幸福感、获得感。</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二是短视频宣传有亮点。形成了以抖音、快手、视频号等6个短视频平台组成的视频宣传矩阵，在抖音、快手等平台中开设15期《榜样的力量》《疫情速报》《特克斯丰收节》等专栏，针对典型人物先进事迹进行解读，营造崇尚奉献的新风尚；每日更新《疫情速报》，引导各族群众不信谣、不传谣，全面扩大官方最新公布信息知晓率，其中抖音平台粉丝数量在全州抖音平台位列第二。新媒体平台共计发布作品3538条，原创作品播放量超10万+作品226个，“100万+”作品21个，“200万+”作品2个，“300万+”作品3个，“500万+”作品4个，“600万+”作品2个，“800万+”作品2个，“1000万+”作品3个。全网打造现象级产品三个《翻山越岭万头牛羊春季转场》浏览量2117.5万；《主播说联播》418期，浏览量3508万+，疫情速报2001万，《百年党史百年初心》浏览量2964万，《蓝色星球》水库奇观登上微博热搜。</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三是直播宣传补空白。培养本地主播围绕全县旅游、美食、人文、助农公益媒体销售、消防安全、牛羊转场直播等内容的开展直播宣传，其中与新华网联合开展直播1场次、与新疆报业集团开展直播两场次，对宣传推介特克斯起到了关键性作用，填补了直播宣传空白。开设《走进乡村看小康》、《集体婚礼》、《丰收节》、《助农销售》《11.9消防宣传》、《酒驾夜查》等美食推介、地域特色风光、带货网络以及各类专项检查直播32场次，直播间累计人数达到1500万人次，其中农民丰收节直播活动以直播+短视频联合宣传方式，开展直播5场次，直播间人数达到500万人次，制作短（微）视频165部。</w:t>
      </w:r>
    </w:p>
    <w:p>
      <w:pPr>
        <w:spacing w:line="360" w:lineRule="auto"/>
        <w:ind w:firstLine="544" w:firstLineChars="200"/>
        <w:rPr>
          <w:rStyle w:val="17"/>
          <w:rFonts w:hint="eastAsia"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四是做强特克斯好地方客户端宣传。特克斯好地方客户端共刊播稿件19230篇，原创4088篇，微博发布900条，制作海报4808余篇、长图11篇。开办《疫情防控知识》、《学党史 悟思想 办实事 开新局》《童心向党》、《感恩共产党 永远跟党》《预防艾滋病科普知识》《奋斗百年路 启航新征程》《党史百年·基层动态》《砥砺奋进五年间》《人物·故事》等专栏；其中《滞留特克斯的142名游客全部踏上返程路》《我和亲戚游家乡 喜看家乡新变化》《樱桃红了 日子甜了》、《我和国旗合个影》等300余条稿件被石榴云平台采用；海报《特克斯县农产品竞秀中国农民丰收节》，构图新颖，主题鲜明，得到新疆日报社点赞和转发，推送和采用稿件在伊犁州排名第二，打造全县第一权威网络新闻信息发布平台。</w:t>
      </w:r>
    </w:p>
    <w:p>
      <w:pPr>
        <w:spacing w:line="360" w:lineRule="auto"/>
        <w:ind w:firstLine="544" w:firstLineChars="200"/>
        <w:rPr>
          <w:rStyle w:val="17"/>
          <w:rFonts w:hint="default" w:ascii="仿宋_GB2312" w:hAnsi="宋体" w:eastAsia="仿宋_GB2312" w:cs="Times New Roman"/>
          <w:b w:val="0"/>
          <w:bCs w:val="0"/>
          <w:spacing w:val="-4"/>
          <w:sz w:val="28"/>
          <w:szCs w:val="28"/>
          <w:lang w:val="en-US" w:eastAsia="zh-CN"/>
        </w:rPr>
      </w:pPr>
      <w:r>
        <w:rPr>
          <w:rStyle w:val="17"/>
          <w:rFonts w:hint="eastAsia" w:ascii="仿宋_GB2312" w:hAnsi="宋体" w:eastAsia="仿宋_GB2312" w:cs="Times New Roman"/>
          <w:b w:val="0"/>
          <w:bCs w:val="0"/>
          <w:spacing w:val="-4"/>
          <w:sz w:val="28"/>
          <w:szCs w:val="28"/>
          <w:lang w:val="en-US" w:eastAsia="zh-CN"/>
        </w:rPr>
        <w:t>五是特克斯县微信公众平台零距离+视频号宣传有力度。开设了特克斯零距离视频号，实现了零距离公众号+视频号融合宣传方式，全年共刊播稿件3206条，其中原创稿件1755条，开设《学党史、办实事、悟思想、开新局》《我为群众办实事》《民族团结一家亲》《砥砺奋进五年间》等专栏，开办20期《庆丰收》专栏，其中《特克斯滞留游客为特克斯点赞》单条信息阅读量超过万，并对全州疫情防控舆论引导中起到了重要作用。1-10月累计阅读量100万。详细情况如下：</w:t>
      </w:r>
    </w:p>
    <w:p>
      <w:pPr>
        <w:snapToGrid w:val="0"/>
        <w:spacing w:line="360" w:lineRule="auto"/>
        <w:ind w:firstLine="544" w:firstLineChars="200"/>
        <w:rPr>
          <w:rStyle w:val="17"/>
          <w:rFonts w:ascii="仿宋_GB2312" w:eastAsia="仿宋_GB2312" w:hAnsiTheme="minorEastAsia"/>
          <w:b w:val="0"/>
          <w:spacing w:val="-4"/>
          <w:sz w:val="28"/>
          <w:szCs w:val="28"/>
        </w:rPr>
      </w:pPr>
      <w:r>
        <w:rPr>
          <w:rStyle w:val="17"/>
          <w:rFonts w:hint="eastAsia" w:ascii="仿宋_GB2312" w:eastAsia="仿宋_GB2312" w:hAnsiTheme="minorEastAsia"/>
          <w:b w:val="0"/>
          <w:spacing w:val="-4"/>
          <w:sz w:val="28"/>
          <w:szCs w:val="28"/>
          <w:lang w:val="en-US" w:eastAsia="zh-CN"/>
        </w:rPr>
        <w:t>特克斯县融媒体中心</w:t>
      </w:r>
      <w:r>
        <w:rPr>
          <w:rStyle w:val="17"/>
          <w:rFonts w:hint="eastAsia" w:ascii="仿宋_GB2312" w:eastAsia="仿宋_GB2312" w:hAnsiTheme="minorEastAsia"/>
          <w:b w:val="0"/>
          <w:spacing w:val="-4"/>
          <w:sz w:val="28"/>
          <w:szCs w:val="28"/>
        </w:rPr>
        <w:t>部门单位整体绩效目标共设置一级指标</w:t>
      </w:r>
      <w:r>
        <w:rPr>
          <w:rStyle w:val="17"/>
          <w:rFonts w:hint="eastAsia" w:ascii="仿宋_GB2312" w:eastAsia="仿宋_GB2312" w:hAnsiTheme="minorEastAsia"/>
          <w:b w:val="0"/>
          <w:spacing w:val="-4"/>
          <w:sz w:val="28"/>
          <w:szCs w:val="28"/>
          <w:lang w:val="en-US" w:eastAsia="zh-CN"/>
        </w:rPr>
        <w:t>3</w:t>
      </w:r>
      <w:r>
        <w:rPr>
          <w:rStyle w:val="17"/>
          <w:rFonts w:hint="eastAsia" w:ascii="仿宋_GB2312" w:eastAsia="仿宋_GB2312" w:hAnsiTheme="minorEastAsia"/>
          <w:b w:val="0"/>
          <w:spacing w:val="-4"/>
          <w:sz w:val="28"/>
          <w:szCs w:val="28"/>
        </w:rPr>
        <w:t xml:space="preserve">    个，二级指标</w:t>
      </w:r>
      <w:r>
        <w:rPr>
          <w:rStyle w:val="17"/>
          <w:rFonts w:hint="eastAsia" w:ascii="仿宋_GB2312" w:eastAsia="仿宋_GB2312" w:hAnsiTheme="minorEastAsia"/>
          <w:b w:val="0"/>
          <w:spacing w:val="-4"/>
          <w:sz w:val="28"/>
          <w:szCs w:val="28"/>
          <w:lang w:val="en-US" w:eastAsia="zh-CN"/>
        </w:rPr>
        <w:t>6</w:t>
      </w:r>
      <w:r>
        <w:rPr>
          <w:rStyle w:val="17"/>
          <w:rFonts w:hint="eastAsia" w:ascii="仿宋_GB2312" w:eastAsia="仿宋_GB2312" w:hAnsiTheme="minorEastAsia"/>
          <w:b w:val="0"/>
          <w:spacing w:val="-4"/>
          <w:sz w:val="28"/>
          <w:szCs w:val="28"/>
        </w:rPr>
        <w:t>个，三级指标</w:t>
      </w:r>
      <w:r>
        <w:rPr>
          <w:rStyle w:val="17"/>
          <w:rFonts w:hint="eastAsia" w:ascii="仿宋_GB2312" w:eastAsia="仿宋_GB2312" w:hAnsiTheme="minorEastAsia"/>
          <w:b w:val="0"/>
          <w:spacing w:val="-4"/>
          <w:sz w:val="28"/>
          <w:szCs w:val="28"/>
          <w:lang w:val="en-US" w:eastAsia="zh-CN"/>
        </w:rPr>
        <w:t>12</w:t>
      </w:r>
      <w:r>
        <w:rPr>
          <w:rStyle w:val="17"/>
          <w:rFonts w:hint="eastAsia" w:ascii="仿宋_GB2312" w:eastAsia="仿宋_GB2312" w:hAnsiTheme="minorEastAsia"/>
          <w:b w:val="0"/>
          <w:spacing w:val="-4"/>
          <w:sz w:val="28"/>
          <w:szCs w:val="28"/>
        </w:rPr>
        <w:t>个，详细说明如下</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1</w:t>
      </w:r>
      <w:r>
        <w:rPr>
          <w:rStyle w:val="17"/>
          <w:rFonts w:hint="eastAsia" w:ascii="仿宋_GB2312" w:hAnsi="宋体" w:eastAsia="仿宋_GB2312"/>
          <w:b w:val="0"/>
          <w:spacing w:val="-4"/>
          <w:sz w:val="28"/>
          <w:szCs w:val="28"/>
        </w:rPr>
        <w:t>、数量指标：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指标1：保障在职人员数，指标值：≥45人，实际完成值：45人，指标完成率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：运转保障车辆数，指标值：=2辆，实际完成值：2辆 ，指标完成率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highlight w:val="none"/>
        </w:rPr>
      </w:pPr>
      <w:r>
        <w:rPr>
          <w:rStyle w:val="17"/>
          <w:rFonts w:hint="eastAsia" w:ascii="仿宋_GB2312" w:hAnsi="宋体" w:eastAsia="仿宋_GB2312"/>
          <w:b w:val="0"/>
          <w:spacing w:val="-4"/>
          <w:sz w:val="28"/>
          <w:szCs w:val="28"/>
          <w:highlight w:val="none"/>
        </w:rPr>
        <w:t>指标</w:t>
      </w:r>
      <w:r>
        <w:rPr>
          <w:rStyle w:val="17"/>
          <w:rFonts w:hint="eastAsia" w:ascii="仿宋_GB2312" w:hAnsi="宋体" w:eastAsia="仿宋_GB2312"/>
          <w:b w:val="0"/>
          <w:spacing w:val="-4"/>
          <w:sz w:val="28"/>
          <w:szCs w:val="28"/>
          <w:highlight w:val="none"/>
          <w:lang w:val="en-US" w:eastAsia="zh-CN"/>
        </w:rPr>
        <w:t>3</w:t>
      </w:r>
      <w:r>
        <w:rPr>
          <w:rStyle w:val="17"/>
          <w:rFonts w:hint="eastAsia" w:ascii="仿宋_GB2312" w:hAnsi="宋体" w:eastAsia="仿宋_GB2312"/>
          <w:b w:val="0"/>
          <w:spacing w:val="-4"/>
          <w:sz w:val="28"/>
          <w:szCs w:val="28"/>
          <w:highlight w:val="none"/>
        </w:rPr>
        <w:t>：保障退休人员数，指标值：</w:t>
      </w:r>
      <w:r>
        <w:rPr>
          <w:rStyle w:val="17"/>
          <w:rFonts w:hint="eastAsia" w:ascii="仿宋_GB2312" w:hAnsi="宋体" w:eastAsia="仿宋_GB2312"/>
          <w:b w:val="0"/>
          <w:spacing w:val="-4"/>
          <w:sz w:val="28"/>
          <w:szCs w:val="28"/>
          <w:highlight w:val="none"/>
          <w:lang w:val="en-US" w:eastAsia="zh-CN"/>
        </w:rPr>
        <w:t>≥32人</w:t>
      </w:r>
      <w:r>
        <w:rPr>
          <w:rStyle w:val="17"/>
          <w:rFonts w:hint="eastAsia" w:ascii="仿宋_GB2312" w:hAnsi="宋体" w:eastAsia="仿宋_GB2312"/>
          <w:b w:val="0"/>
          <w:spacing w:val="-4"/>
          <w:sz w:val="28"/>
          <w:szCs w:val="28"/>
          <w:highlight w:val="none"/>
        </w:rPr>
        <w:t>，实际完成值：</w:t>
      </w:r>
      <w:r>
        <w:rPr>
          <w:rStyle w:val="17"/>
          <w:rFonts w:hint="eastAsia" w:ascii="仿宋_GB2312" w:hAnsi="宋体" w:eastAsia="仿宋_GB2312"/>
          <w:b w:val="0"/>
          <w:spacing w:val="-4"/>
          <w:sz w:val="28"/>
          <w:szCs w:val="28"/>
          <w:highlight w:val="none"/>
          <w:lang w:val="en-US" w:eastAsia="zh-CN"/>
        </w:rPr>
        <w:t>32人</w:t>
      </w:r>
      <w:r>
        <w:rPr>
          <w:rStyle w:val="17"/>
          <w:rFonts w:hint="eastAsia" w:ascii="仿宋_GB2312" w:hAnsi="宋体" w:eastAsia="仿宋_GB2312"/>
          <w:b w:val="0"/>
          <w:spacing w:val="-4"/>
          <w:sz w:val="28"/>
          <w:szCs w:val="28"/>
          <w:highlight w:val="none"/>
        </w:rPr>
        <w:t>，指标完成率</w:t>
      </w:r>
      <w:r>
        <w:rPr>
          <w:rStyle w:val="17"/>
          <w:rFonts w:hint="eastAsia" w:ascii="仿宋_GB2312" w:hAnsi="宋体" w:eastAsia="仿宋_GB2312"/>
          <w:b w:val="0"/>
          <w:spacing w:val="-4"/>
          <w:sz w:val="28"/>
          <w:szCs w:val="28"/>
          <w:highlight w:val="none"/>
          <w:lang w:val="en-US" w:eastAsia="zh-CN"/>
        </w:rPr>
        <w:t>100.00</w:t>
      </w:r>
      <w:r>
        <w:rPr>
          <w:rStyle w:val="17"/>
          <w:rFonts w:hint="eastAsia" w:ascii="仿宋_GB2312" w:hAnsi="宋体" w:eastAsia="仿宋_GB2312"/>
          <w:b w:val="0"/>
          <w:spacing w:val="-4"/>
          <w:sz w:val="28"/>
          <w:szCs w:val="28"/>
          <w:highlight w:val="none"/>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、质量指标：</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指标1：工资及公用经费保障率，指标值：=100%，实际完成值：100%，指标完成率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3</w:t>
      </w:r>
      <w:r>
        <w:rPr>
          <w:rStyle w:val="17"/>
          <w:rFonts w:hint="eastAsia" w:ascii="仿宋_GB2312" w:hAnsi="宋体" w:eastAsia="仿宋_GB2312"/>
          <w:b w:val="0"/>
          <w:spacing w:val="-4"/>
          <w:sz w:val="28"/>
          <w:szCs w:val="28"/>
        </w:rPr>
        <w:t>、时效指标：</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指标1：资金发放及时性，指标值：=100%，实际完成值：100%，指标完成率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ascii="仿宋_GB2312" w:hAnsi="宋体" w:eastAsia="仿宋_GB2312"/>
          <w:b w:val="0"/>
          <w:spacing w:val="-4"/>
          <w:sz w:val="28"/>
          <w:szCs w:val="28"/>
        </w:rPr>
        <w:t>4</w:t>
      </w:r>
      <w:r>
        <w:rPr>
          <w:rStyle w:val="17"/>
          <w:rFonts w:hint="eastAsia" w:ascii="仿宋_GB2312" w:hAnsi="宋体" w:eastAsia="仿宋_GB2312"/>
          <w:b w:val="0"/>
          <w:spacing w:val="-4"/>
          <w:sz w:val="28"/>
          <w:szCs w:val="28"/>
        </w:rPr>
        <w:t>、成本指标：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指标1：在职人人均支出标准，指标值：≤9.58万元/年，实际完成值：9.58万元/年，指标完成率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：退休人人均支出标准，指标值：≤0.2万元/年，实际完成值：0.2万元/年 ，指标完成率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hint="eastAsia" w:ascii="仿宋_GB2312" w:hAnsi="宋体" w:eastAsia="仿宋_GB2312"/>
          <w:b w:val="0"/>
          <w:spacing w:val="-4"/>
          <w:sz w:val="28"/>
          <w:szCs w:val="28"/>
          <w:lang w:val="en-US" w:eastAsia="zh-CN"/>
        </w:rPr>
        <w:t>3</w:t>
      </w:r>
      <w:r>
        <w:rPr>
          <w:rStyle w:val="17"/>
          <w:rFonts w:hint="eastAsia" w:ascii="仿宋_GB2312" w:hAnsi="宋体" w:eastAsia="仿宋_GB2312"/>
          <w:b w:val="0"/>
          <w:spacing w:val="-4"/>
          <w:sz w:val="28"/>
          <w:szCs w:val="28"/>
        </w:rPr>
        <w:t>：人均运转经费数，指标值：≤0.34万元/年，实际完成值：0.34万元/年，指标完成率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lang w:val="en-US" w:eastAsia="zh-CN"/>
        </w:rPr>
        <w:t>5</w:t>
      </w:r>
      <w:r>
        <w:rPr>
          <w:rStyle w:val="17"/>
          <w:rFonts w:hint="eastAsia" w:ascii="仿宋_GB2312" w:hAnsi="宋体" w:eastAsia="仿宋_GB2312"/>
          <w:b w:val="0"/>
          <w:spacing w:val="-4"/>
          <w:sz w:val="28"/>
          <w:szCs w:val="28"/>
        </w:rPr>
        <w:t>、社会效益指标：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指标1：拓展宣传舆论阵地，指标值：不断扩展，实际完成值：不断扩展，指标完成率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：提高农牧区公共文化服务水平，指标值：有效提高，实际完成值：有效提高 ，指标完成率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lang w:val="en-US" w:eastAsia="zh-CN"/>
        </w:rPr>
        <w:t>6</w:t>
      </w:r>
      <w:r>
        <w:rPr>
          <w:rStyle w:val="17"/>
          <w:rFonts w:hint="eastAsia" w:ascii="仿宋_GB2312" w:hAnsi="宋体" w:eastAsia="仿宋_GB2312"/>
          <w:b w:val="0"/>
          <w:spacing w:val="-4"/>
          <w:sz w:val="28"/>
          <w:szCs w:val="28"/>
        </w:rPr>
        <w:t>、满意度指标：</w:t>
      </w:r>
    </w:p>
    <w:p>
      <w:pPr>
        <w:snapToGrid w:val="0"/>
        <w:spacing w:line="360" w:lineRule="auto"/>
        <w:ind w:firstLine="544" w:firstLineChars="200"/>
        <w:rPr>
          <w:rStyle w:val="17"/>
          <w:rFonts w:ascii="仿宋_GB2312" w:hAnsi="宋体" w:eastAsia="仿宋_GB2312"/>
          <w:b w:val="0"/>
          <w:spacing w:val="-4"/>
          <w:sz w:val="28"/>
          <w:szCs w:val="28"/>
        </w:rPr>
      </w:pPr>
      <w:r>
        <w:rPr>
          <w:rStyle w:val="17"/>
          <w:rFonts w:hint="eastAsia" w:ascii="仿宋_GB2312" w:hAnsi="宋体" w:eastAsia="仿宋_GB2312"/>
          <w:b w:val="0"/>
          <w:spacing w:val="-4"/>
          <w:sz w:val="28"/>
          <w:szCs w:val="28"/>
        </w:rPr>
        <w:t>指标1：观众的满意度，指标值：≥95%，实际完成值：95%，指标完成率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p>
    <w:p>
      <w:pPr>
        <w:snapToGrid w:val="0"/>
        <w:spacing w:line="360" w:lineRule="auto"/>
        <w:ind w:firstLine="544" w:firstLineChars="200"/>
        <w:rPr>
          <w:rStyle w:val="17"/>
          <w:rFonts w:hint="eastAsia" w:ascii="仿宋_GB2312" w:hAnsi="宋体" w:eastAsia="仿宋_GB2312"/>
          <w:b w:val="0"/>
          <w:spacing w:val="-4"/>
          <w:sz w:val="28"/>
          <w:szCs w:val="28"/>
          <w:lang w:val="en-US" w:eastAsia="zh-CN"/>
        </w:rPr>
      </w:pPr>
      <w:r>
        <w:rPr>
          <w:rStyle w:val="17"/>
          <w:rFonts w:hint="eastAsia" w:ascii="仿宋_GB2312" w:hAnsi="宋体" w:eastAsia="仿宋_GB2312"/>
          <w:b w:val="0"/>
          <w:spacing w:val="-4"/>
          <w:sz w:val="28"/>
          <w:szCs w:val="28"/>
        </w:rPr>
        <w:t>指标</w:t>
      </w:r>
      <w:r>
        <w:rPr>
          <w:rStyle w:val="17"/>
          <w:rFonts w:ascii="仿宋_GB2312" w:hAnsi="宋体" w:eastAsia="仿宋_GB2312"/>
          <w:b w:val="0"/>
          <w:spacing w:val="-4"/>
          <w:sz w:val="28"/>
          <w:szCs w:val="28"/>
        </w:rPr>
        <w:t>2</w:t>
      </w:r>
      <w:r>
        <w:rPr>
          <w:rStyle w:val="17"/>
          <w:rFonts w:hint="eastAsia" w:ascii="仿宋_GB2312" w:hAnsi="宋体" w:eastAsia="仿宋_GB2312"/>
          <w:b w:val="0"/>
          <w:spacing w:val="-4"/>
          <w:sz w:val="28"/>
          <w:szCs w:val="28"/>
        </w:rPr>
        <w:t>：职工满意度，指标值：≥95%，实际完成值：95%，指标完成率</w:t>
      </w:r>
      <w:r>
        <w:rPr>
          <w:rStyle w:val="17"/>
          <w:rFonts w:hint="eastAsia" w:ascii="仿宋_GB2312" w:hAnsi="宋体" w:eastAsia="仿宋_GB2312"/>
          <w:b w:val="0"/>
          <w:spacing w:val="-4"/>
          <w:sz w:val="28"/>
          <w:szCs w:val="28"/>
          <w:lang w:val="en-US" w:eastAsia="zh-CN"/>
        </w:rPr>
        <w:t>100.00</w:t>
      </w:r>
      <w:r>
        <w:rPr>
          <w:rStyle w:val="17"/>
          <w:rFonts w:hint="eastAsia" w:ascii="仿宋_GB2312" w:hAnsi="宋体" w:eastAsia="仿宋_GB2312"/>
          <w:b w:val="0"/>
          <w:spacing w:val="-4"/>
          <w:sz w:val="28"/>
          <w:szCs w:val="28"/>
        </w:rPr>
        <w:t>%</w:t>
      </w:r>
      <w:r>
        <w:rPr>
          <w:rStyle w:val="17"/>
          <w:rFonts w:hint="eastAsia" w:ascii="仿宋_GB2312" w:hAnsi="宋体" w:eastAsia="仿宋_GB2312"/>
          <w:b w:val="0"/>
          <w:spacing w:val="-4"/>
          <w:sz w:val="28"/>
          <w:szCs w:val="28"/>
          <w:lang w:eastAsia="zh-CN"/>
        </w:rPr>
        <w:t>。</w:t>
      </w:r>
    </w:p>
    <w:p>
      <w:pPr>
        <w:snapToGrid w:val="0"/>
        <w:spacing w:line="360" w:lineRule="auto"/>
        <w:ind w:firstLine="544" w:firstLineChars="200"/>
        <w:rPr>
          <w:rStyle w:val="17"/>
          <w:rFonts w:ascii="仿宋_GB2312" w:hAnsi="宋体" w:eastAsia="仿宋_GB2312"/>
          <w:b w:val="0"/>
          <w:spacing w:val="-4"/>
          <w:sz w:val="28"/>
          <w:szCs w:val="28"/>
        </w:rPr>
      </w:pPr>
    </w:p>
    <w:p>
      <w:pPr>
        <w:spacing w:line="360" w:lineRule="auto"/>
        <w:ind w:firstLine="544" w:firstLineChars="200"/>
        <w:rPr>
          <w:rStyle w:val="17"/>
          <w:rFonts w:ascii="仿宋_GB2312" w:hAnsi="宋体" w:eastAsia="仿宋_GB2312"/>
          <w:b w:val="0"/>
          <w:bCs w:val="0"/>
          <w:color w:val="FF0000"/>
          <w:spacing w:val="-4"/>
          <w:sz w:val="28"/>
          <w:szCs w:val="28"/>
        </w:rPr>
      </w:pPr>
    </w:p>
    <w:p>
      <w:pPr>
        <w:pStyle w:val="3"/>
        <w:spacing w:line="360" w:lineRule="auto"/>
        <w:rPr>
          <w:rFonts w:ascii="仿宋" w:hAnsi="仿宋" w:eastAsia="仿宋"/>
          <w:sz w:val="36"/>
          <w:szCs w:val="36"/>
          <w:lang w:bidi="ar"/>
        </w:rPr>
      </w:pPr>
      <w:bookmarkStart w:id="31" w:name="_Toc70450317"/>
      <w:r>
        <w:rPr>
          <w:rFonts w:hint="eastAsia" w:ascii="仿宋" w:hAnsi="仿宋" w:eastAsia="仿宋"/>
          <w:sz w:val="36"/>
          <w:szCs w:val="36"/>
          <w:lang w:bidi="ar"/>
        </w:rPr>
        <w:t>六、存在的主要问题</w:t>
      </w:r>
      <w:bookmarkEnd w:id="31"/>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(一)预算执行存在偏差</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lang w:eastAsia="zh-CN"/>
        </w:rPr>
        <w:t>（</w:t>
      </w:r>
      <w:r>
        <w:rPr>
          <w:rStyle w:val="17"/>
          <w:rFonts w:hint="eastAsia" w:ascii="仿宋_GB2312" w:hAnsi="宋体" w:eastAsia="仿宋_GB2312"/>
          <w:b w:val="0"/>
          <w:spacing w:val="-4"/>
          <w:sz w:val="28"/>
          <w:szCs w:val="28"/>
          <w:lang w:val="en-US" w:eastAsia="zh-CN"/>
        </w:rPr>
        <w:t>二</w:t>
      </w:r>
      <w:r>
        <w:rPr>
          <w:rStyle w:val="17"/>
          <w:rFonts w:hint="eastAsia" w:ascii="仿宋_GB2312" w:hAnsi="宋体" w:eastAsia="仿宋_GB2312"/>
          <w:b w:val="0"/>
          <w:spacing w:val="-4"/>
          <w:sz w:val="28"/>
          <w:szCs w:val="28"/>
          <w:lang w:eastAsia="zh-CN"/>
        </w:rPr>
        <w:t>）</w:t>
      </w:r>
      <w:r>
        <w:rPr>
          <w:rStyle w:val="17"/>
          <w:rFonts w:hint="eastAsia" w:ascii="仿宋_GB2312" w:hAnsi="宋体" w:eastAsia="仿宋_GB2312"/>
          <w:b w:val="0"/>
          <w:spacing w:val="-4"/>
          <w:sz w:val="28"/>
          <w:szCs w:val="28"/>
        </w:rPr>
        <w:t>项目细化管理工作不足。</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三）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（四）固定资产管理水平有待提高</w:t>
      </w:r>
    </w:p>
    <w:p>
      <w:pPr>
        <w:snapToGrid w:val="0"/>
        <w:spacing w:line="360" w:lineRule="auto"/>
        <w:ind w:firstLine="544" w:firstLineChars="200"/>
        <w:rPr>
          <w:rStyle w:val="17"/>
          <w:rFonts w:hint="eastAsia" w:ascii="仿宋_GB2312" w:hAnsi="宋体" w:eastAsia="仿宋_GB2312"/>
          <w:b w:val="0"/>
          <w:spacing w:val="-4"/>
          <w:sz w:val="28"/>
          <w:szCs w:val="28"/>
        </w:rPr>
      </w:pPr>
      <w:r>
        <w:rPr>
          <w:rStyle w:val="17"/>
          <w:rFonts w:hint="eastAsia" w:ascii="仿宋_GB2312" w:hAnsi="宋体" w:eastAsia="仿宋_GB2312"/>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spacing w:line="360" w:lineRule="auto"/>
        <w:rPr>
          <w:rFonts w:ascii="仿宋" w:hAnsi="仿宋" w:eastAsia="仿宋"/>
          <w:sz w:val="36"/>
          <w:szCs w:val="36"/>
          <w:lang w:bidi="ar"/>
        </w:rPr>
      </w:pPr>
      <w:bookmarkStart w:id="32" w:name="_Toc70450318"/>
      <w:r>
        <w:rPr>
          <w:rFonts w:hint="eastAsia" w:ascii="仿宋" w:hAnsi="仿宋" w:eastAsia="仿宋"/>
          <w:sz w:val="36"/>
          <w:szCs w:val="36"/>
          <w:lang w:bidi="ar"/>
        </w:rPr>
        <w:t>七、改进措施和建议</w:t>
      </w:r>
      <w:bookmarkEnd w:id="32"/>
    </w:p>
    <w:p>
      <w:pPr>
        <w:pStyle w:val="4"/>
        <w:spacing w:line="360" w:lineRule="auto"/>
        <w:rPr>
          <w:rStyle w:val="17"/>
          <w:rFonts w:ascii="仿宋" w:hAnsi="仿宋" w:eastAsia="仿宋"/>
          <w:b/>
          <w:bCs/>
        </w:rPr>
      </w:pPr>
      <w:bookmarkStart w:id="33" w:name="_Toc70450319"/>
      <w:r>
        <w:rPr>
          <w:rStyle w:val="17"/>
          <w:rFonts w:hint="eastAsia" w:ascii="仿宋" w:hAnsi="仿宋" w:eastAsia="仿宋"/>
          <w:b/>
          <w:bCs/>
        </w:rPr>
        <w:t>（一）改进措施</w:t>
      </w:r>
      <w:bookmarkEnd w:id="33"/>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(二)完善管理制度,进-步加强资产管理。严格按照《固定资产管理办法》的规定，加强固定资产管理,及时登记、更新台账，加强资产卡片管理,对各类实物资产进行全面盘点,确保账账、账实相符。</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（三）加强学习。进一步明确如何参照考核体系，科学合理设定绩效目标，充分发挥预算绩效管理工作效用。</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（四）财务上，会计核算要更加详细，为本单位各项工作的开展、总结、评估提供有效数据资料支撑,为各项业务工作更好的开展提供帮助。</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（五）从源头上强化对专项资金预算管理。实行专项资金预算管理，结合单位实际, 按轻重缓急统筹安排编制预算,提高预算编制科学性和合理性,优化资金结构。</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（六）按时间进度分解资金使用计划。专项资金的使用，要事前做计划，事中进行控制，事后总结提高。合理安排资金使用,充分体现资金投向的目标和效益。</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7"/>
          <w:rFonts w:ascii="仿宋" w:hAnsi="仿宋" w:eastAsia="仿宋"/>
          <w:b/>
          <w:bCs/>
        </w:rPr>
      </w:pPr>
      <w:bookmarkStart w:id="34" w:name="_Toc70450320"/>
      <w:r>
        <w:rPr>
          <w:rStyle w:val="17"/>
          <w:rFonts w:hint="eastAsia" w:ascii="仿宋" w:hAnsi="仿宋" w:eastAsia="仿宋"/>
          <w:b/>
          <w:bCs/>
        </w:rPr>
        <w:t>（二）建议</w:t>
      </w:r>
      <w:bookmarkEnd w:id="34"/>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bookmarkStart w:id="35" w:name="_Toc70450321"/>
      <w:r>
        <w:rPr>
          <w:rStyle w:val="17"/>
          <w:rFonts w:hint="eastAsia" w:ascii="仿宋_GB2312" w:hAnsi="宋体" w:eastAsia="仿宋_GB2312" w:cstheme="minorBidi"/>
          <w:b w:val="0"/>
          <w:spacing w:val="-4"/>
          <w:kern w:val="2"/>
          <w:sz w:val="28"/>
          <w:szCs w:val="28"/>
          <w:lang w:val="en-US" w:eastAsia="zh-CN" w:bidi="ar-SA"/>
        </w:rPr>
        <w:t>（1）加强预算执行管理</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督促局本级及下属各事业单位根据工作计划、年度预算安排和项目实施进度等及时向县财政部门提出支付申请。规范财政支出，加强对日常公用经费、“三公”经费的支付监管。</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（2）提高结余结转资金效益</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完善预算支出绩效考核工作程序，将考评纳入部门绩效管理。局本级及下属各事业单位要发挥绩效考核的主体作用，积极建立绩效考评结果的运用机制、结余结转资金管理与预算执行管理相衔接的激励约束机制，避免形成大量的专项结余结转资金，又要鼓励各处室各单位在预算执行中，精打细算，努力节约资金，防止大把花钱、突击花钱，故意减少专项结余结转资金。</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（3）强化项目监管</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建立动态监管机制，提升部门项目监管水平。通过建立健全项目进展月报或季报机制、强化信息化监管手段等，对部门重点项目进行节点管理，提升对业务股室年度项目的整体把控能力。</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（4）加强固定资产监管</w:t>
      </w:r>
    </w:p>
    <w:p>
      <w:pPr>
        <w:pStyle w:val="13"/>
        <w:widowControl/>
        <w:spacing w:before="40" w:beforeAutospacing="0" w:after="0" w:afterAutospacing="0" w:line="520" w:lineRule="atLeast"/>
        <w:ind w:firstLine="544" w:firstLineChars="200"/>
        <w:jc w:val="both"/>
        <w:rPr>
          <w:rStyle w:val="17"/>
          <w:rFonts w:hint="eastAsia" w:ascii="仿宋_GB2312" w:hAnsi="宋体" w:eastAsia="仿宋_GB2312" w:cstheme="minorBidi"/>
          <w:b w:val="0"/>
          <w:spacing w:val="-4"/>
          <w:kern w:val="2"/>
          <w:sz w:val="28"/>
          <w:szCs w:val="28"/>
          <w:lang w:val="en-US" w:eastAsia="zh-CN" w:bidi="ar-SA"/>
        </w:rPr>
      </w:pPr>
      <w:r>
        <w:rPr>
          <w:rStyle w:val="17"/>
          <w:rFonts w:hint="eastAsia" w:ascii="仿宋_GB2312" w:hAnsi="宋体" w:eastAsia="仿宋_GB2312" w:cstheme="minorBidi"/>
          <w:b w:val="0"/>
          <w:spacing w:val="-4"/>
          <w:kern w:val="2"/>
          <w:sz w:val="28"/>
          <w:szCs w:val="28"/>
          <w:lang w:val="en-US" w:eastAsia="zh-CN" w:bidi="ar-SA"/>
        </w:rPr>
        <w:t>成立固定资产管理小组，安排专人负责资产管理，固定资产政府采购，核对购入的固定资产的规格型号、使用人等相关信息，登记好资产购入、签收、及领用的台账。定期对固定资产进行盘点，对盘盈、盘亏、报废的固定资产及时进行清理、处置。</w:t>
      </w:r>
    </w:p>
    <w:p>
      <w:pPr>
        <w:pStyle w:val="3"/>
        <w:spacing w:line="360" w:lineRule="auto"/>
        <w:rPr>
          <w:rStyle w:val="17"/>
          <w:rFonts w:ascii="仿宋" w:hAnsi="仿宋" w:eastAsia="仿宋"/>
          <w:b/>
          <w:bCs/>
          <w:sz w:val="36"/>
          <w:szCs w:val="36"/>
        </w:rPr>
      </w:pPr>
      <w:r>
        <w:rPr>
          <w:rStyle w:val="17"/>
          <w:rFonts w:hint="eastAsia" w:ascii="仿宋" w:hAnsi="仿宋" w:eastAsia="仿宋"/>
          <w:b/>
          <w:bCs/>
          <w:sz w:val="36"/>
          <w:szCs w:val="36"/>
        </w:rPr>
        <w:t>八、附表</w:t>
      </w:r>
      <w:r>
        <w:rPr>
          <w:rStyle w:val="17"/>
          <w:rFonts w:hint="eastAsia" w:ascii="仿宋" w:hAnsi="仿宋" w:eastAsia="仿宋"/>
          <w:b w:val="0"/>
          <w:bCs w:val="0"/>
          <w:spacing w:val="-4"/>
          <w:sz w:val="36"/>
          <w:szCs w:val="36"/>
        </w:rPr>
        <w:t>：</w:t>
      </w:r>
      <w:bookmarkStart w:id="36" w:name="_Hlk70450148"/>
      <w:r>
        <w:rPr>
          <w:rStyle w:val="17"/>
          <w:rFonts w:hint="eastAsia" w:ascii="仿宋" w:hAnsi="仿宋" w:eastAsia="仿宋"/>
          <w:b/>
          <w:bCs/>
          <w:sz w:val="36"/>
          <w:szCs w:val="36"/>
        </w:rPr>
        <w:t>《部门整体支出绩效目标自评表》</w:t>
      </w:r>
      <w:bookmarkEnd w:id="35"/>
      <w:bookmarkEnd w:id="36"/>
    </w:p>
    <w:p>
      <w:r>
        <w:br w:type="page"/>
      </w:r>
    </w:p>
    <w:tbl>
      <w:tblPr>
        <w:tblStyle w:val="15"/>
        <w:tblW w:w="8429" w:type="dxa"/>
        <w:tblInd w:w="93" w:type="dxa"/>
        <w:tblLayout w:type="fixed"/>
        <w:tblCellMar>
          <w:top w:w="0" w:type="dxa"/>
          <w:left w:w="108" w:type="dxa"/>
          <w:bottom w:w="0" w:type="dxa"/>
          <w:right w:w="108" w:type="dxa"/>
        </w:tblCellMar>
      </w:tblPr>
      <w:tblGrid>
        <w:gridCol w:w="695"/>
        <w:gridCol w:w="1047"/>
        <w:gridCol w:w="1549"/>
        <w:gridCol w:w="913"/>
        <w:gridCol w:w="913"/>
        <w:gridCol w:w="743"/>
        <w:gridCol w:w="913"/>
        <w:gridCol w:w="455"/>
        <w:gridCol w:w="457"/>
        <w:gridCol w:w="744"/>
      </w:tblGrid>
      <w:tr>
        <w:tblPrEx>
          <w:tblCellMar>
            <w:top w:w="0" w:type="dxa"/>
            <w:left w:w="108" w:type="dxa"/>
            <w:bottom w:w="0" w:type="dxa"/>
            <w:right w:w="108" w:type="dxa"/>
          </w:tblCellMar>
        </w:tblPrEx>
        <w:trPr>
          <w:trHeight w:val="40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_GBK" w:hAnsi="宋体" w:eastAsia="方正小标宋_GBK" w:cs="宋体"/>
                <w:kern w:val="0"/>
                <w:sz w:val="44"/>
                <w:szCs w:val="44"/>
              </w:rPr>
            </w:pPr>
            <w:r>
              <w:rPr>
                <w:rFonts w:hint="eastAsia" w:ascii="宋体" w:hAnsi="宋体" w:eastAsia="宋体" w:cs="宋体"/>
                <w:b/>
                <w:bCs/>
                <w:i w:val="0"/>
                <w:iCs w:val="0"/>
                <w:color w:val="000000"/>
                <w:kern w:val="0"/>
                <w:sz w:val="32"/>
                <w:szCs w:val="32"/>
                <w:u w:val="none"/>
                <w:lang w:val="en-US" w:eastAsia="zh-CN" w:bidi="ar"/>
              </w:rPr>
              <w:t>部门整体支出绩效目标自评表</w:t>
            </w:r>
          </w:p>
        </w:tc>
      </w:tr>
      <w:tr>
        <w:tblPrEx>
          <w:tblCellMar>
            <w:top w:w="0" w:type="dxa"/>
            <w:left w:w="108" w:type="dxa"/>
            <w:bottom w:w="0" w:type="dxa"/>
            <w:right w:w="108" w:type="dxa"/>
          </w:tblCellMar>
        </w:tblPrEx>
        <w:trPr>
          <w:trHeight w:val="285" w:hRule="atLeast"/>
        </w:trPr>
        <w:tc>
          <w:tcPr>
            <w:tcW w:w="8429"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32"/>
                <w:szCs w:val="32"/>
                <w:u w:val="none"/>
                <w:lang w:val="en-US" w:eastAsia="zh-CN" w:bidi="ar"/>
              </w:rPr>
              <w:t>(2021年)</w:t>
            </w:r>
          </w:p>
        </w:tc>
      </w:tr>
      <w:tr>
        <w:tblPrEx>
          <w:tblCellMar>
            <w:top w:w="0" w:type="dxa"/>
            <w:left w:w="108" w:type="dxa"/>
            <w:bottom w:w="0" w:type="dxa"/>
            <w:right w:w="108" w:type="dxa"/>
          </w:tblCellMar>
        </w:tblPrEx>
        <w:trPr>
          <w:trHeight w:val="285" w:hRule="atLeast"/>
        </w:trPr>
        <w:tc>
          <w:tcPr>
            <w:tcW w:w="1742" w:type="dxa"/>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部门（单位）名称</w:t>
            </w:r>
          </w:p>
        </w:tc>
        <w:tc>
          <w:tcPr>
            <w:tcW w:w="6687" w:type="dxa"/>
            <w:gridSpan w:val="8"/>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4"/>
                <w:szCs w:val="24"/>
                <w:u w:val="none"/>
                <w:lang w:val="en-US" w:eastAsia="zh-CN" w:bidi="ar"/>
              </w:rPr>
              <w:t>特克斯县融媒体中心</w:t>
            </w:r>
          </w:p>
        </w:tc>
      </w:tr>
      <w:tr>
        <w:tblPrEx>
          <w:tblCellMar>
            <w:top w:w="0" w:type="dxa"/>
            <w:left w:w="108" w:type="dxa"/>
            <w:bottom w:w="0" w:type="dxa"/>
            <w:right w:w="108" w:type="dxa"/>
          </w:tblCellMar>
        </w:tblPrEx>
        <w:trPr>
          <w:trHeight w:val="285" w:hRule="atLeast"/>
        </w:trPr>
        <w:tc>
          <w:tcPr>
            <w:tcW w:w="695" w:type="dxa"/>
            <w:vMerge w:val="restart"/>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年度主要任务</w:t>
            </w:r>
          </w:p>
        </w:tc>
        <w:tc>
          <w:tcPr>
            <w:tcW w:w="1047"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任务名称</w:t>
            </w:r>
          </w:p>
        </w:tc>
        <w:tc>
          <w:tcPr>
            <w:tcW w:w="1549" w:type="dxa"/>
            <w:vMerge w:val="restart"/>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主要内容</w:t>
            </w:r>
          </w:p>
        </w:tc>
        <w:tc>
          <w:tcPr>
            <w:tcW w:w="2569"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预算金额（万元）</w:t>
            </w:r>
          </w:p>
        </w:tc>
        <w:tc>
          <w:tcPr>
            <w:tcW w:w="2569"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实际执行（万元）</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1549"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913"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总额</w:t>
            </w:r>
          </w:p>
        </w:tc>
        <w:tc>
          <w:tcPr>
            <w:tcW w:w="91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b/>
                <w:bCs/>
                <w:i w:val="0"/>
                <w:iCs w:val="0"/>
                <w:color w:val="000000"/>
                <w:kern w:val="0"/>
                <w:sz w:val="24"/>
                <w:szCs w:val="24"/>
                <w:u w:val="none"/>
                <w:lang w:val="en-US" w:eastAsia="zh-CN" w:bidi="ar"/>
              </w:rPr>
              <w:t>财政拨款</w:t>
            </w:r>
          </w:p>
        </w:tc>
        <w:tc>
          <w:tcPr>
            <w:tcW w:w="74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c>
          <w:tcPr>
            <w:tcW w:w="913"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总额</w:t>
            </w:r>
          </w:p>
        </w:tc>
        <w:tc>
          <w:tcPr>
            <w:tcW w:w="912" w:type="dxa"/>
            <w:gridSpan w:val="2"/>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财政拨款</w:t>
            </w:r>
          </w:p>
        </w:tc>
        <w:tc>
          <w:tcPr>
            <w:tcW w:w="744" w:type="dxa"/>
            <w:tcBorders>
              <w:top w:val="single" w:color="auto" w:sz="4" w:space="0"/>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其他资金</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人员保障</w:t>
            </w:r>
          </w:p>
        </w:tc>
        <w:tc>
          <w:tcPr>
            <w:tcW w:w="1549"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1.保证人员工资及社保和住房公积金支出 2.对个人和家庭补助，退休人员取暖费，计生奖励金</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475.89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475.89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475.89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475.89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w:t>
            </w:r>
          </w:p>
        </w:tc>
        <w:tc>
          <w:tcPr>
            <w:tcW w:w="1549"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办公费保证运行正常运转，保证队伍稳定的基础，提供优质服务的资金保障。</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15.50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15.50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15.50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15.50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596"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金额合计</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491.39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491.39 </w:t>
            </w:r>
          </w:p>
        </w:tc>
        <w:tc>
          <w:tcPr>
            <w:tcW w:w="74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0.00 </w:t>
            </w:r>
          </w:p>
        </w:tc>
        <w:tc>
          <w:tcPr>
            <w:tcW w:w="913"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491.39 </w:t>
            </w:r>
          </w:p>
        </w:tc>
        <w:tc>
          <w:tcPr>
            <w:tcW w:w="91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 xml:space="preserve">491.39 </w:t>
            </w:r>
          </w:p>
        </w:tc>
        <w:tc>
          <w:tcPr>
            <w:tcW w:w="74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 xml:space="preserve">0.00 </w:t>
            </w:r>
          </w:p>
        </w:tc>
      </w:tr>
      <w:tr>
        <w:tblPrEx>
          <w:tblCellMar>
            <w:top w:w="0" w:type="dxa"/>
            <w:left w:w="108" w:type="dxa"/>
            <w:bottom w:w="0" w:type="dxa"/>
            <w:right w:w="108" w:type="dxa"/>
          </w:tblCellMar>
        </w:tblPrEx>
        <w:trPr>
          <w:trHeight w:val="285" w:hRule="atLeast"/>
        </w:trPr>
        <w:tc>
          <w:tcPr>
            <w:tcW w:w="69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年度总体目标</w:t>
            </w:r>
          </w:p>
        </w:tc>
        <w:tc>
          <w:tcPr>
            <w:tcW w:w="350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预期目标</w:t>
            </w:r>
          </w:p>
        </w:tc>
        <w:tc>
          <w:tcPr>
            <w:tcW w:w="42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实际完成目标</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50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 xml:space="preserve">目标1：宣传工作的重点切实抓好，紧密结合全县实际，深入阐释其重大意义，组织好新常态下的经济宣传，精准、全面、及时解读经济、民生重大政策。反映百姓心声，准确、快速报道新闻事实，不断提升舆论监督报道的厚度、深度和高度，以客观理性的新闻报道，推动社会进步。                                                                                                   目标2：提高业务能力，确保播出、发射安全。依据各项安全播出制度和应急预案，做好日常的培训和演练，加强播出、发射一线人员的基本技能、基本素质的培训，全面提高一线人员的应急处置和隐患排查能力。继续强化安全播出无小事的理念，严格落实上级有关安全管理规定，加强高山台的安保、值机工作，继续实行24小时专人值班值守制度。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目标3：加速新媒体融合发展，做好地方广播电视服务项目，改善基层收听收看广播电视情况，保障广大群众观看电视、收听广播等基本权益。</w:t>
            </w:r>
          </w:p>
        </w:tc>
        <w:tc>
          <w:tcPr>
            <w:tcW w:w="4225" w:type="dxa"/>
            <w:gridSpan w:val="6"/>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 xml:space="preserve">目标1：宣传工作的重点切实抓好，紧密结合全县实际，深入阐释其重大意义，组织好新常态下的经济宣传，精准、全面、及时解读经济、民生重大政策。反映百姓心声，准确、快速报道新闻事实，不断提升舆论监督报道的厚度、深度和高度，以客观理性的新闻报道，推动社会进步。                                                                                                   目标2：提高业务能力，确保播出、发射安全。依据各项安全播出制度和应急预案，做好日常的培训和演练，加强播出、发射一线人员的基本技能、基本素质的培训，全面提高一线人员的应急处置和隐患排查能力。继续强化安全播出无小事的理念，严格落实上级有关安全管理规定，加强高山台的安保、值机工作，继续实行24小时专人值班值守制度。                                                                                          </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目标3：加速新媒体融合发展，做好地方广播电视服务项目，改善基层收听收看广播电视情况，保障广大群众观看电视、收听广播等基本权益。</w:t>
            </w:r>
          </w:p>
        </w:tc>
      </w:tr>
      <w:tr>
        <w:tblPrEx>
          <w:tblCellMar>
            <w:top w:w="0" w:type="dxa"/>
            <w:left w:w="108" w:type="dxa"/>
            <w:bottom w:w="0" w:type="dxa"/>
            <w:right w:w="108" w:type="dxa"/>
          </w:tblCellMar>
        </w:tblPrEx>
        <w:trPr>
          <w:trHeight w:val="285" w:hRule="atLeast"/>
        </w:trPr>
        <w:tc>
          <w:tcPr>
            <w:tcW w:w="695"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047"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一级指标</w:t>
            </w:r>
          </w:p>
        </w:tc>
        <w:tc>
          <w:tcPr>
            <w:tcW w:w="1549"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二级指标</w:t>
            </w:r>
          </w:p>
        </w:tc>
        <w:tc>
          <w:tcPr>
            <w:tcW w:w="256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b/>
                <w:bCs/>
                <w:i w:val="0"/>
                <w:iCs w:val="0"/>
                <w:color w:val="000000"/>
                <w:kern w:val="0"/>
                <w:sz w:val="24"/>
                <w:szCs w:val="24"/>
                <w:u w:val="none"/>
                <w:lang w:val="en-US" w:eastAsia="zh-CN" w:bidi="ar"/>
              </w:rPr>
              <w:t>三级指标</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预期指标值（包含数字及文字描述）</w:t>
            </w:r>
          </w:p>
        </w:tc>
        <w:tc>
          <w:tcPr>
            <w:tcW w:w="12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4"/>
                <w:szCs w:val="24"/>
                <w:u w:val="none"/>
                <w:lang w:val="en-US" w:eastAsia="zh-CN" w:bidi="ar"/>
              </w:rPr>
              <w:t>实际完成指标值（包含数字及文字描述）</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产出指标</w:t>
            </w:r>
          </w:p>
        </w:tc>
        <w:tc>
          <w:tcPr>
            <w:tcW w:w="1549" w:type="dxa"/>
            <w:vMerge w:val="restart"/>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4"/>
                <w:szCs w:val="24"/>
                <w:u w:val="none"/>
                <w:lang w:val="en-US" w:eastAsia="zh-CN" w:bidi="ar"/>
              </w:rPr>
              <w:t>数量指标</w:t>
            </w:r>
          </w:p>
        </w:tc>
        <w:tc>
          <w:tcPr>
            <w:tcW w:w="2569"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保障在职人员数</w:t>
            </w:r>
          </w:p>
        </w:tc>
        <w:tc>
          <w:tcPr>
            <w:tcW w:w="1368"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≥45人</w:t>
            </w:r>
          </w:p>
        </w:tc>
        <w:tc>
          <w:tcPr>
            <w:tcW w:w="120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45人</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nil"/>
              <w:bottom w:val="single" w:color="auto" w:sz="4" w:space="0"/>
              <w:right w:val="nil"/>
            </w:tcBorders>
            <w:shd w:val="clear" w:color="auto" w:fill="auto"/>
            <w:vAlign w:val="center"/>
          </w:tcPr>
          <w:p>
            <w:pPr>
              <w:jc w:val="center"/>
              <w:rPr>
                <w:rFonts w:ascii="宋体" w:hAnsi="宋体" w:eastAsia="宋体" w:cs="宋体"/>
                <w:kern w:val="0"/>
                <w:sz w:val="24"/>
              </w:rPr>
            </w:pPr>
          </w:p>
        </w:tc>
        <w:tc>
          <w:tcPr>
            <w:tcW w:w="1549" w:type="dxa"/>
            <w:vMerge w:val="continue"/>
            <w:tcBorders>
              <w:top w:val="single" w:color="auto" w:sz="4" w:space="0"/>
              <w:left w:val="nil"/>
              <w:bottom w:val="single" w:color="auto" w:sz="4" w:space="0"/>
              <w:right w:val="nil"/>
            </w:tcBorders>
            <w:shd w:val="clear" w:color="auto" w:fill="auto"/>
            <w:vAlign w:val="center"/>
          </w:tcPr>
          <w:p>
            <w:pPr>
              <w:jc w:val="center"/>
            </w:pP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运转保障车辆数</w:t>
            </w:r>
          </w:p>
        </w:tc>
        <w:tc>
          <w:tcPr>
            <w:tcW w:w="136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=2辆</w:t>
            </w:r>
          </w:p>
        </w:tc>
        <w:tc>
          <w:tcPr>
            <w:tcW w:w="120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2辆</w:t>
            </w:r>
          </w:p>
        </w:tc>
      </w:tr>
      <w:tr>
        <w:tblPrEx>
          <w:tblCellMar>
            <w:top w:w="0" w:type="dxa"/>
            <w:left w:w="108" w:type="dxa"/>
            <w:bottom w:w="0" w:type="dxa"/>
            <w:right w:w="108" w:type="dxa"/>
          </w:tblCellMar>
        </w:tblPrEx>
        <w:trPr>
          <w:trHeight w:val="2070"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保障退休人员数</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≥32人</w:t>
            </w:r>
          </w:p>
        </w:tc>
        <w:tc>
          <w:tcPr>
            <w:tcW w:w="12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32人</w:t>
            </w:r>
          </w:p>
        </w:tc>
      </w:tr>
      <w:tr>
        <w:tblPrEx>
          <w:tblCellMar>
            <w:top w:w="0" w:type="dxa"/>
            <w:left w:w="108" w:type="dxa"/>
            <w:bottom w:w="0" w:type="dxa"/>
            <w:right w:w="108" w:type="dxa"/>
          </w:tblCellMar>
        </w:tblPrEx>
        <w:trPr>
          <w:trHeight w:val="885" w:hRule="atLeast"/>
        </w:trPr>
        <w:tc>
          <w:tcPr>
            <w:tcW w:w="695"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047" w:type="dxa"/>
            <w:vMerge w:val="continue"/>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质量指标</w:t>
            </w:r>
          </w:p>
        </w:tc>
        <w:tc>
          <w:tcPr>
            <w:tcW w:w="25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4"/>
              </w:rPr>
            </w:pPr>
            <w:r>
              <w:rPr>
                <w:rFonts w:hint="eastAsia" w:ascii="宋体" w:hAnsi="宋体" w:eastAsia="宋体" w:cs="宋体"/>
                <w:i w:val="0"/>
                <w:iCs w:val="0"/>
                <w:color w:val="000000"/>
                <w:kern w:val="0"/>
                <w:sz w:val="20"/>
                <w:szCs w:val="20"/>
                <w:u w:val="none"/>
                <w:lang w:val="en-US" w:eastAsia="zh-CN" w:bidi="ar"/>
              </w:rPr>
              <w:t>工资及公用经费保障率</w:t>
            </w:r>
          </w:p>
        </w:tc>
        <w:tc>
          <w:tcPr>
            <w:tcW w:w="1368"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201" w:type="dxa"/>
            <w:gridSpan w:val="2"/>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549" w:type="dxa"/>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时效指标</w:t>
            </w: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资金发放及时性</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=100%</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100%</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成本指标</w:t>
            </w: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在职人人均支出标准</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≤9.58万元/年</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9.58万元/年</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退休人人均支出标准</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≤0.2万元/年</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0.2万元/年</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人均运转经费数</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≤0.34万元/年</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0.34万元/年</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效益指标</w:t>
            </w:r>
          </w:p>
        </w:tc>
        <w:tc>
          <w:tcPr>
            <w:tcW w:w="1549"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社会效益指标</w:t>
            </w: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拓展宣传舆论阵地</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不断扩展</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不断扩展</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69" w:type="dxa"/>
            <w:gridSpan w:val="3"/>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提高农牧区公共文化服务水平</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有效提高</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有效提高</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1549"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4"/>
                <w:szCs w:val="24"/>
                <w:u w:val="none"/>
                <w:lang w:val="en-US" w:eastAsia="zh-CN" w:bidi="ar"/>
              </w:rPr>
              <w:t>满意度指标</w:t>
            </w: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观众的满意度</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r>
        <w:tblPrEx>
          <w:tblCellMar>
            <w:top w:w="0" w:type="dxa"/>
            <w:left w:w="108" w:type="dxa"/>
            <w:bottom w:w="0" w:type="dxa"/>
            <w:right w:w="108" w:type="dxa"/>
          </w:tblCellMar>
        </w:tblPrEx>
        <w:trPr>
          <w:trHeight w:val="285" w:hRule="atLeast"/>
        </w:trPr>
        <w:tc>
          <w:tcPr>
            <w:tcW w:w="695"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04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549"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69"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24"/>
              </w:rPr>
            </w:pPr>
            <w:r>
              <w:rPr>
                <w:rFonts w:hint="eastAsia" w:ascii="宋体" w:hAnsi="宋体" w:eastAsia="宋体" w:cs="宋体"/>
                <w:i w:val="0"/>
                <w:iCs w:val="0"/>
                <w:color w:val="000000"/>
                <w:kern w:val="0"/>
                <w:sz w:val="20"/>
                <w:szCs w:val="20"/>
                <w:u w:val="none"/>
                <w:lang w:val="en-US" w:eastAsia="zh-CN" w:bidi="ar"/>
              </w:rPr>
              <w:t>职工满意度</w:t>
            </w:r>
          </w:p>
        </w:tc>
        <w:tc>
          <w:tcPr>
            <w:tcW w:w="1368"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rPr>
            </w:pPr>
            <w:r>
              <w:rPr>
                <w:rFonts w:hint="eastAsia" w:ascii="宋体" w:hAnsi="宋体" w:eastAsia="宋体" w:cs="宋体"/>
                <w:i w:val="0"/>
                <w:iCs w:val="0"/>
                <w:color w:val="000000"/>
                <w:kern w:val="0"/>
                <w:sz w:val="20"/>
                <w:szCs w:val="20"/>
                <w:u w:val="none"/>
                <w:lang w:val="en-US" w:eastAsia="zh-CN" w:bidi="ar"/>
              </w:rPr>
              <w:t>≥95%</w:t>
            </w:r>
          </w:p>
        </w:tc>
        <w:tc>
          <w:tcPr>
            <w:tcW w:w="1201" w:type="dxa"/>
            <w:gridSpan w:val="2"/>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95%</w:t>
            </w:r>
          </w:p>
        </w:tc>
      </w:tr>
    </w:tbl>
    <w:p>
      <w:pPr>
        <w:rPr>
          <w:rFonts w:ascii="仿宋" w:hAnsi="仿宋" w:eastAsia="仿宋" w:cs="宋体"/>
          <w:color w:val="333333"/>
          <w:sz w:val="32"/>
          <w:szCs w:val="32"/>
          <w:lang w:bidi="ar"/>
        </w:rPr>
      </w:pPr>
    </w:p>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DAC69"/>
    <w:multiLevelType w:val="singleLevel"/>
    <w:tmpl w:val="BEFDAC69"/>
    <w:lvl w:ilvl="0" w:tentative="0">
      <w:start w:val="1"/>
      <w:numFmt w:val="decimal"/>
      <w:suff w:val="nothing"/>
      <w:lvlText w:val="（%1）"/>
      <w:lvlJc w:val="left"/>
    </w:lvl>
  </w:abstractNum>
  <w:abstractNum w:abstractNumId="1">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07AC2"/>
    <w:rsid w:val="00025A44"/>
    <w:rsid w:val="00072084"/>
    <w:rsid w:val="0009422A"/>
    <w:rsid w:val="000B6B13"/>
    <w:rsid w:val="000C13A8"/>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AA214A"/>
    <w:rsid w:val="01C84A38"/>
    <w:rsid w:val="022707CB"/>
    <w:rsid w:val="04320FC2"/>
    <w:rsid w:val="04F97F80"/>
    <w:rsid w:val="06A12586"/>
    <w:rsid w:val="071E33F5"/>
    <w:rsid w:val="08356ADF"/>
    <w:rsid w:val="09387A75"/>
    <w:rsid w:val="0ADA3E2D"/>
    <w:rsid w:val="0AE87B16"/>
    <w:rsid w:val="0BCC6262"/>
    <w:rsid w:val="0BD462D8"/>
    <w:rsid w:val="0C1640EA"/>
    <w:rsid w:val="0C192EAF"/>
    <w:rsid w:val="0D3455E5"/>
    <w:rsid w:val="0DA95A1B"/>
    <w:rsid w:val="0DE90E83"/>
    <w:rsid w:val="0E9A5E97"/>
    <w:rsid w:val="10B059ED"/>
    <w:rsid w:val="112F7A62"/>
    <w:rsid w:val="135E151A"/>
    <w:rsid w:val="14DB381C"/>
    <w:rsid w:val="1534460E"/>
    <w:rsid w:val="16372AB0"/>
    <w:rsid w:val="17CB64D8"/>
    <w:rsid w:val="18C07E75"/>
    <w:rsid w:val="1A696B16"/>
    <w:rsid w:val="1AB220D8"/>
    <w:rsid w:val="1C431CA2"/>
    <w:rsid w:val="1E0773AE"/>
    <w:rsid w:val="1EB60E4D"/>
    <w:rsid w:val="211F5D5F"/>
    <w:rsid w:val="21302C94"/>
    <w:rsid w:val="234A471E"/>
    <w:rsid w:val="23F906B4"/>
    <w:rsid w:val="240E4ED2"/>
    <w:rsid w:val="27597DBA"/>
    <w:rsid w:val="28A038BD"/>
    <w:rsid w:val="2ABF2677"/>
    <w:rsid w:val="2BE42349"/>
    <w:rsid w:val="2C992854"/>
    <w:rsid w:val="2DAD39C7"/>
    <w:rsid w:val="2E514E30"/>
    <w:rsid w:val="2ED67B27"/>
    <w:rsid w:val="302A7B3A"/>
    <w:rsid w:val="304A6B3F"/>
    <w:rsid w:val="30521A36"/>
    <w:rsid w:val="306B63DB"/>
    <w:rsid w:val="30C84E3A"/>
    <w:rsid w:val="31212AE5"/>
    <w:rsid w:val="31B71A77"/>
    <w:rsid w:val="320B3079"/>
    <w:rsid w:val="32693419"/>
    <w:rsid w:val="341B6DD9"/>
    <w:rsid w:val="34393D58"/>
    <w:rsid w:val="36506DC7"/>
    <w:rsid w:val="3653450C"/>
    <w:rsid w:val="376700AC"/>
    <w:rsid w:val="37D95EC0"/>
    <w:rsid w:val="3844729C"/>
    <w:rsid w:val="39450B66"/>
    <w:rsid w:val="3C135ACF"/>
    <w:rsid w:val="3C8D6CB1"/>
    <w:rsid w:val="3CC5158D"/>
    <w:rsid w:val="3CE04B4D"/>
    <w:rsid w:val="3CED252D"/>
    <w:rsid w:val="3DB803BD"/>
    <w:rsid w:val="3DD4146E"/>
    <w:rsid w:val="3F0462DD"/>
    <w:rsid w:val="40280A6A"/>
    <w:rsid w:val="40C65C67"/>
    <w:rsid w:val="416B4987"/>
    <w:rsid w:val="41AF3646"/>
    <w:rsid w:val="42A21CDE"/>
    <w:rsid w:val="43535456"/>
    <w:rsid w:val="456B2AB7"/>
    <w:rsid w:val="45EE4775"/>
    <w:rsid w:val="4611236E"/>
    <w:rsid w:val="461F4B85"/>
    <w:rsid w:val="46923F12"/>
    <w:rsid w:val="4705385E"/>
    <w:rsid w:val="47A93B31"/>
    <w:rsid w:val="493200D0"/>
    <w:rsid w:val="4D236FE0"/>
    <w:rsid w:val="4E477CEC"/>
    <w:rsid w:val="4E77558C"/>
    <w:rsid w:val="50556B58"/>
    <w:rsid w:val="508E4C72"/>
    <w:rsid w:val="51327309"/>
    <w:rsid w:val="517C7B0E"/>
    <w:rsid w:val="52206CB9"/>
    <w:rsid w:val="528C72B1"/>
    <w:rsid w:val="54A208C2"/>
    <w:rsid w:val="55D31444"/>
    <w:rsid w:val="57467598"/>
    <w:rsid w:val="5917512F"/>
    <w:rsid w:val="59EF6B26"/>
    <w:rsid w:val="5B6C3E76"/>
    <w:rsid w:val="5DAC3418"/>
    <w:rsid w:val="5EC706D4"/>
    <w:rsid w:val="5F3F6396"/>
    <w:rsid w:val="5F940582"/>
    <w:rsid w:val="605A194C"/>
    <w:rsid w:val="610A784B"/>
    <w:rsid w:val="612C4DA3"/>
    <w:rsid w:val="61613ACB"/>
    <w:rsid w:val="61FF693D"/>
    <w:rsid w:val="620F0C77"/>
    <w:rsid w:val="63C03FBF"/>
    <w:rsid w:val="642E4A2F"/>
    <w:rsid w:val="64E75E11"/>
    <w:rsid w:val="65417C99"/>
    <w:rsid w:val="66294479"/>
    <w:rsid w:val="6AAE0899"/>
    <w:rsid w:val="6BB472CC"/>
    <w:rsid w:val="6BBD3D8B"/>
    <w:rsid w:val="6D4D74FA"/>
    <w:rsid w:val="70163D7A"/>
    <w:rsid w:val="70B21542"/>
    <w:rsid w:val="729C7667"/>
    <w:rsid w:val="75336B72"/>
    <w:rsid w:val="761878EB"/>
    <w:rsid w:val="776964F6"/>
    <w:rsid w:val="778634ED"/>
    <w:rsid w:val="77C60AEA"/>
    <w:rsid w:val="77DD5E06"/>
    <w:rsid w:val="79D86EA1"/>
    <w:rsid w:val="7B4D4E45"/>
    <w:rsid w:val="7BC4242D"/>
    <w:rsid w:val="7D212EEB"/>
    <w:rsid w:val="7FAA04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1"/>
    <w:rPr>
      <w:rFonts w:ascii="宋体" w:hAnsi="宋体" w:eastAsia="宋体" w:cs="宋体"/>
      <w:sz w:val="32"/>
      <w:szCs w:val="32"/>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3"/>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4"/>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2"/>
    <w:qFormat/>
    <w:uiPriority w:val="9"/>
    <w:rPr>
      <w:b/>
      <w:bCs/>
      <w:kern w:val="44"/>
      <w:sz w:val="44"/>
      <w:szCs w:val="44"/>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5"/>
    <w:qFormat/>
    <w:uiPriority w:val="9"/>
    <w:rPr>
      <w:rFonts w:asciiTheme="majorHAnsi" w:hAnsiTheme="majorHAnsi" w:eastAsiaTheme="majorEastAsia" w:cstheme="majorBidi"/>
      <w:b/>
      <w:bCs/>
      <w:sz w:val="28"/>
      <w:szCs w:val="28"/>
    </w:rPr>
  </w:style>
  <w:style w:type="paragraph" w:customStyle="1" w:styleId="30">
    <w:name w:val="Default"/>
    <w:next w:val="1"/>
    <w:qFormat/>
    <w:uiPriority w:val="0"/>
    <w:pPr>
      <w:widowControl w:val="0"/>
      <w:autoSpaceDE w:val="0"/>
      <w:autoSpaceDN w:val="0"/>
      <w:adjustRightInd w:val="0"/>
    </w:pPr>
    <w:rPr>
      <w:rFonts w:ascii="隶书" w:hAnsi="Calibri" w:eastAsia="隶书" w:cs="隶书"/>
      <w:color w:val="000000"/>
      <w:kern w:val="0"/>
      <w:sz w:val="24"/>
      <w:szCs w:val="24"/>
      <w:lang w:val="en-US" w:eastAsia="zh-CN" w:bidi="ar-SA"/>
    </w:rPr>
  </w:style>
  <w:style w:type="paragraph" w:customStyle="1" w:styleId="31">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3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12353</Words>
  <Characters>13174</Characters>
  <Lines>72</Lines>
  <Paragraphs>20</Paragraphs>
  <TotalTime>2</TotalTime>
  <ScaleCrop>false</ScaleCrop>
  <LinksUpToDate>false</LinksUpToDate>
  <CharactersWithSpaces>13604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2022-05-26T10:23:05Z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85948823A4DC4CA3B1F692FF048B92B0</vt:lpwstr>
  </property>
</Properties>
</file>